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39F" w:rsidRDefault="00DE239F">
      <w:pPr>
        <w:widowControl w:val="0"/>
        <w:tabs>
          <w:tab w:val="center" w:pos="4680"/>
        </w:tabs>
        <w:jc w:val="both"/>
        <w:rPr>
          <w:rFonts w:ascii="Courier 10cpi" w:hAnsi="Courier 10cpi"/>
          <w:b/>
          <w:sz w:val="36"/>
          <w:lang w:val="en-CA"/>
        </w:rPr>
      </w:pPr>
      <w:r>
        <w:fldChar w:fldCharType="begin"/>
      </w:r>
      <w:r>
        <w:instrText xml:space="preserve"> SEQ CHAPTER \h \r 1</w:instrText>
      </w:r>
      <w:r>
        <w:fldChar w:fldCharType="end"/>
      </w:r>
      <w:r>
        <w:rPr>
          <w:rFonts w:ascii="Courier 10cpi" w:hAnsi="Courier 10cpi"/>
          <w:sz w:val="36"/>
          <w:lang w:val="en-CA"/>
        </w:rPr>
        <w:tab/>
      </w:r>
      <w:r>
        <w:rPr>
          <w:rFonts w:ascii="Courier 10cpi" w:hAnsi="Courier 10cpi"/>
          <w:b/>
          <w:sz w:val="36"/>
          <w:lang w:val="en-CA"/>
        </w:rPr>
        <w:t>CHAPITRE 57</w:t>
      </w:r>
    </w:p>
    <w:p w:rsidR="00DE239F" w:rsidRDefault="00DE239F">
      <w:pPr>
        <w:widowControl w:val="0"/>
        <w:rPr>
          <w:rFonts w:ascii="Courier 10cpi" w:hAnsi="Courier 10cpi"/>
          <w:b/>
          <w:sz w:val="36"/>
          <w:lang w:val="en-CA"/>
        </w:rPr>
      </w:pPr>
    </w:p>
    <w:p w:rsidR="00DE239F" w:rsidRDefault="00DE239F">
      <w:pPr>
        <w:widowControl w:val="0"/>
        <w:tabs>
          <w:tab w:val="center" w:pos="4680"/>
        </w:tabs>
        <w:rPr>
          <w:rFonts w:ascii="Courier 10cpi" w:hAnsi="Courier 10cpi"/>
          <w:lang w:val="en-CA"/>
        </w:rPr>
      </w:pPr>
      <w:r>
        <w:rPr>
          <w:rFonts w:ascii="Courier 10cpi" w:hAnsi="Courier 10cpi"/>
          <w:b/>
          <w:sz w:val="36"/>
          <w:lang w:val="en-CA"/>
        </w:rPr>
        <w:tab/>
        <w:t>ÉVALUATION ET IMPOSITION MUNICIPALES</w:t>
      </w:r>
    </w:p>
    <w:p w:rsidR="00DE239F" w:rsidRDefault="00DE239F">
      <w:pPr>
        <w:widowControl w:val="0"/>
        <w:rPr>
          <w:rFonts w:ascii="Courier 10cpi" w:hAnsi="Courier 10cpi"/>
          <w:lang w:val="en-CA"/>
        </w:rPr>
      </w:pPr>
    </w:p>
    <w:p w:rsidR="00DE239F" w:rsidRDefault="00DE239F">
      <w:pPr>
        <w:widowControl w:val="0"/>
        <w:rPr>
          <w:rFonts w:ascii="Courier 10cpi" w:hAnsi="Courier 10cpi"/>
          <w:lang w:val="en-CA"/>
        </w:rPr>
      </w:pPr>
    </w:p>
    <w:p w:rsidR="00DE239F" w:rsidRDefault="00DE239F">
      <w:pPr>
        <w:widowControl w:val="0"/>
        <w:rPr>
          <w:rFonts w:ascii="Courier 10cpi" w:hAnsi="Courier 10cpi"/>
          <w:color w:val="FF0000"/>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Le paragraphe 46(1)</w:t>
      </w:r>
      <w:r>
        <w:rPr>
          <w:rFonts w:ascii="Courier 10cpi" w:hAnsi="Courier 10cpi"/>
          <w:lang w:val="en-CA"/>
        </w:rPr>
        <w:t xml:space="preserve"> de la </w:t>
      </w:r>
      <w:r>
        <w:rPr>
          <w:rFonts w:ascii="Courier 10cpi" w:hAnsi="Courier 10cpi"/>
          <w:i/>
          <w:lang w:val="en-CA"/>
        </w:rPr>
        <w:t>Loi sur l'évaluation foncière</w:t>
      </w:r>
      <w:r>
        <w:rPr>
          <w:rFonts w:ascii="Courier 10cpi" w:hAnsi="Courier 10cpi"/>
          <w:lang w:val="en-CA"/>
        </w:rPr>
        <w:t xml:space="preserve">, </w:t>
      </w:r>
      <w:r>
        <w:rPr>
          <w:rFonts w:ascii="Courier 10cpi" w:hAnsi="Courier 10cpi"/>
          <w:color w:val="FF0000"/>
          <w:lang w:val="en-CA"/>
        </w:rPr>
        <w:t>L.R.O. 1990, chap. A.31</w:t>
      </w:r>
      <w:r>
        <w:rPr>
          <w:rFonts w:ascii="Courier 10cpi" w:hAnsi="Courier 10cpi"/>
          <w:lang w:val="en-CA"/>
        </w:rPr>
        <w:t xml:space="preserve"> prévoit que la municipalité, le commissaire à l'évaluation ou toute personne visée par une évaluation peut présenter une requête à la Cour de l'Ontario (Division générale) du comté dans lequel l'évaluation est effectuée en vue du règlement d'une question portant sur l'évaluation, sauf une question au sujet de personnes qui sont prétendues avoir fait l'objet d'une inscription erronée au rôle d'évaluation ou en avoir été omises par erreur, ou être visées par une évaluation dont le montant est excessif ou insuffisant. </w:t>
      </w:r>
      <w:r>
        <w:rPr>
          <w:rFonts w:ascii="Courier 10cpi" w:hAnsi="Courier 10cpi"/>
          <w:color w:val="FF0000"/>
          <w:lang w:val="en-CA"/>
        </w:rPr>
        <w:t>L'alinéa 47a) édicte que l'instance doit être introduite dans les soixante jours de la date à laquelle le dépôt du rôle d'évaluation est exigé par la loi ou dans les soixante jours du dépôt du rôle, dans le cas où le rôle n'est pas déposé dans le délai fixé à cette fin.</w:t>
      </w:r>
    </w:p>
    <w:p w:rsidR="00DE239F" w:rsidRDefault="00DE239F">
      <w:pPr>
        <w:widowControl w:val="0"/>
        <w:rPr>
          <w:rFonts w:ascii="Courier 10cpi" w:hAnsi="Courier 10cpi"/>
          <w:color w:val="FF0000"/>
          <w:lang w:val="en-CA"/>
        </w:rPr>
      </w:pPr>
    </w:p>
    <w:p w:rsidR="00DE239F" w:rsidRDefault="00DE239F">
      <w:pPr>
        <w:widowControl w:val="0"/>
        <w:rPr>
          <w:rFonts w:ascii="Courier 10cpi" w:hAnsi="Courier 10cpi"/>
          <w:color w:val="FF0000"/>
          <w:lang w:val="en-CA"/>
        </w:rPr>
      </w:pPr>
      <w:r>
        <w:rPr>
          <w:rFonts w:ascii="Courier 10cpi" w:hAnsi="Courier 10cpi"/>
          <w:color w:val="FF0000"/>
          <w:lang w:val="en-CA"/>
        </w:rPr>
        <w:t xml:space="preserve">L'article 61 de la Loi habilite le tribunal à prononcer des dispositions déclaratoires concernant les années d'évaluation subséquentes à celle de la requête; de ce fait, le tribunal peut rendre une décision visant les années subséquentes au cours desquelles la situation n'aura pas changé : </w:t>
      </w:r>
      <w:r>
        <w:rPr>
          <w:rFonts w:ascii="Courier 10cpi" w:hAnsi="Courier 10cpi"/>
          <w:i/>
          <w:color w:val="FF0000"/>
          <w:lang w:val="en-CA"/>
        </w:rPr>
        <w:t>Metals &amp; Alloys Co. Ltd. v. Regional Assessment Commissioner, Region No. 11</w:t>
      </w:r>
      <w:r>
        <w:rPr>
          <w:rFonts w:ascii="Courier 10cpi" w:hAnsi="Courier 10cpi"/>
          <w:color w:val="FF0000"/>
          <w:lang w:val="en-CA"/>
        </w:rPr>
        <w:t>, (1985) 49 O.R. (2d) 289, 15 D.L.R. (4th) 250, 29 M.P.L.R. 62, 36 R.P.R. 163 (C.A.).</w:t>
      </w:r>
    </w:p>
    <w:p w:rsidR="00DE239F" w:rsidRDefault="00DE239F">
      <w:pPr>
        <w:widowControl w:val="0"/>
        <w:rPr>
          <w:rFonts w:ascii="Courier 10cpi" w:hAnsi="Courier 10cpi"/>
          <w:color w:val="FF0000"/>
          <w:lang w:val="en-CA"/>
        </w:rPr>
      </w:pPr>
    </w:p>
    <w:p w:rsidR="00DE239F" w:rsidRDefault="00DE239F">
      <w:pPr>
        <w:widowControl w:val="0"/>
        <w:rPr>
          <w:rFonts w:ascii="Courier 10cpi" w:hAnsi="Courier 10cpi"/>
          <w:color w:val="FF0000"/>
          <w:lang w:val="en-CA"/>
        </w:rPr>
      </w:pPr>
      <w:r>
        <w:rPr>
          <w:rFonts w:ascii="Courier 10cpi" w:hAnsi="Courier 10cpi"/>
          <w:color w:val="FF0000"/>
          <w:lang w:val="en-CA"/>
        </w:rPr>
        <w:t xml:space="preserve">Lorsqu'une personne visée par une évaluation prétend qu'un bien est exempté d'impôt parce qu'il entre dans une catégorie de biens énumérés à l'article 3 de la </w:t>
      </w:r>
      <w:r>
        <w:rPr>
          <w:rFonts w:ascii="Courier 10cpi" w:hAnsi="Courier 10cpi"/>
          <w:i/>
          <w:color w:val="FF0000"/>
          <w:lang w:val="en-CA"/>
        </w:rPr>
        <w:t>Loi sur l'évaluation foncière</w:t>
      </w:r>
      <w:r>
        <w:rPr>
          <w:rFonts w:ascii="Courier 10cpi" w:hAnsi="Courier 10cpi"/>
          <w:color w:val="FF0000"/>
          <w:lang w:val="en-CA"/>
        </w:rPr>
        <w:t>, elle peut présenter une requête en vertu du paragraphe 46(1) afin de faire trancher cette question. La question à déterminer est alors celle de l'exemption de l'évaluation et non celle de savoir si une personne a été erronément portée au rôle d'évaluation, ce qui écarte l'interdiction de soulever l'inscription d'une personne au rôle qui est édictée par le paragraphe 46(1).</w:t>
      </w:r>
    </w:p>
    <w:p w:rsidR="00DE239F" w:rsidRDefault="00DE239F">
      <w:pPr>
        <w:widowControl w:val="0"/>
        <w:rPr>
          <w:rFonts w:ascii="Courier 10cpi" w:hAnsi="Courier 10cpi"/>
          <w:color w:val="FF0000"/>
          <w:lang w:val="en-CA"/>
        </w:rPr>
      </w:pPr>
    </w:p>
    <w:p w:rsidR="00DE239F" w:rsidRDefault="00DE239F">
      <w:pPr>
        <w:widowControl w:val="0"/>
        <w:rPr>
          <w:rFonts w:ascii="Courier 10cpi" w:hAnsi="Courier 10cpi"/>
          <w:lang w:val="en-CA"/>
        </w:rPr>
      </w:pPr>
      <w:r>
        <w:rPr>
          <w:rFonts w:ascii="Courier 10cpi" w:hAnsi="Courier 10cpi"/>
          <w:color w:val="FF0000"/>
          <w:lang w:val="en-CA"/>
        </w:rPr>
        <w:t xml:space="preserve">Le paragraphe 7(1) de la </w:t>
      </w:r>
      <w:r>
        <w:rPr>
          <w:rFonts w:ascii="Courier 10cpi" w:hAnsi="Courier 10cpi"/>
          <w:i/>
          <w:color w:val="FF0000"/>
          <w:lang w:val="en-CA"/>
        </w:rPr>
        <w:t>Loi sur l'évaluation foncière</w:t>
      </w:r>
      <w:r>
        <w:rPr>
          <w:rFonts w:ascii="Courier 10cpi" w:hAnsi="Courier 10cpi"/>
          <w:color w:val="FF0000"/>
          <w:lang w:val="en-CA"/>
        </w:rPr>
        <w:t xml:space="preserve"> dispose que, sans égard à toute évaluation foncière prévue par cette loi, la personne qui occupe ou utilise un bien-fonds aux fins d'une activité mentionnée ou décrite à l'article, ou dans le cadre de cette activité est visée par une évaluation appelée «évaluation commerciale» dont le montant est calculé en fonction de la valeur imposable du bien-fonds ainsi occupé ou utilisé par cette personne, de la manière décrite aux alinéas a) à k) du paragraphe 7(1). La question de savoir si un bien-fonds est exempté de l'évaluation et celle de savoir si la personne qui exerce une activité sur le bien-fonds est assujettie à l'évaluation commerciale sont deux questions distinctes. Si une décision favorable est rendue sur la première question, il faut se garder de préjuger de la décision sur la deuxième. En introduisant un avis de requête sous le régime du paragraphe 46(1), une personne peut faire déterminer si elle doit être assujettie à l'«évaluation commerciale» : </w:t>
      </w:r>
      <w:r>
        <w:rPr>
          <w:rFonts w:ascii="Courier 10cpi" w:hAnsi="Courier 10cpi"/>
          <w:i/>
          <w:color w:val="FF0000"/>
          <w:lang w:val="en-CA"/>
        </w:rPr>
        <w:t>Re Toronto and Belding Corticelli Ltd.</w:t>
      </w:r>
      <w:r>
        <w:rPr>
          <w:rFonts w:ascii="Courier 10cpi" w:hAnsi="Courier 10cpi"/>
          <w:color w:val="FF0000"/>
          <w:lang w:val="en-CA"/>
        </w:rPr>
        <w:t xml:space="preserve">, [1939] O.R. 409, [1939] 3 D.L.R. 73 (C.A.) et </w:t>
      </w:r>
      <w:r>
        <w:rPr>
          <w:rFonts w:ascii="Courier 10cpi" w:hAnsi="Courier 10cpi"/>
          <w:i/>
          <w:color w:val="FF0000"/>
          <w:lang w:val="en-CA"/>
        </w:rPr>
        <w:t>Town of Timmins v. Brewers' Warehousing Co. Ltd.</w:t>
      </w:r>
      <w:r>
        <w:rPr>
          <w:rFonts w:ascii="Courier 10cpi" w:hAnsi="Courier 10cpi"/>
          <w:color w:val="FF0000"/>
          <w:lang w:val="en-CA"/>
        </w:rPr>
        <w:t xml:space="preserve"> [1962] O.R. 536, 33 D.L.R. (2d) 12 (C.A.)</w:t>
      </w:r>
      <w:r>
        <w:rPr>
          <w:rFonts w:ascii="Courier 10cpi" w:hAnsi="Courier 10cpi"/>
          <w:lang w:val="en-CA"/>
        </w:rPr>
        <w:t>.</w:t>
      </w:r>
    </w:p>
    <w:p w:rsidR="00DE239F" w:rsidRDefault="00DE239F">
      <w:pPr>
        <w:widowControl w:val="0"/>
        <w:rPr>
          <w:rFonts w:ascii="Courier 10cpi" w:hAnsi="Courier 10cpi"/>
          <w:lang w:val="en-CA"/>
        </w:rPr>
      </w:pPr>
    </w:p>
    <w:p w:rsidR="00DE239F" w:rsidRDefault="00DE239F">
      <w:pPr>
        <w:widowControl w:val="0"/>
        <w:rPr>
          <w:rFonts w:ascii="Courier 10cpi" w:hAnsi="Courier 10cpi"/>
          <w:lang w:val="en-CA"/>
        </w:rPr>
      </w:pPr>
    </w:p>
    <w:p w:rsidR="00DE239F" w:rsidRDefault="00DE239F">
      <w:pPr>
        <w:widowControl w:val="0"/>
        <w:tabs>
          <w:tab w:val="center" w:pos="4680"/>
        </w:tabs>
        <w:rPr>
          <w:rFonts w:ascii="Courier 10cpi" w:hAnsi="Courier 10cpi"/>
          <w:lang w:val="en-CA"/>
        </w:rPr>
      </w:pPr>
      <w:r>
        <w:rPr>
          <w:rFonts w:ascii="Courier 10cpi" w:hAnsi="Courier 10cpi"/>
          <w:b/>
          <w:lang w:val="en-CA"/>
        </w:rPr>
        <w:tab/>
        <w:t>A. REQUÊTE EN VUE D'ÊTRE EXEMPTÉ DE LA TAXE D'AFFAIRE</w:t>
      </w:r>
    </w:p>
    <w:p w:rsidR="00DE239F" w:rsidRDefault="00DE239F">
      <w:pPr>
        <w:widowControl w:val="0"/>
        <w:rPr>
          <w:rFonts w:ascii="Courier 10cpi" w:hAnsi="Courier 10cpi"/>
          <w:lang w:val="en-CA"/>
        </w:rPr>
      </w:pPr>
    </w:p>
    <w:p w:rsidR="00DE239F" w:rsidRDefault="00DE239F">
      <w:pPr>
        <w:widowControl w:val="0"/>
        <w:rPr>
          <w:rFonts w:ascii="Courier 10cpi" w:hAnsi="Courier 10cpi"/>
          <w:lang w:val="en-CA"/>
        </w:rPr>
      </w:pPr>
    </w:p>
    <w:p w:rsidR="00DE239F" w:rsidRDefault="00DE239F">
      <w:pPr>
        <w:widowControl w:val="0"/>
        <w:tabs>
          <w:tab w:val="center" w:pos="4680"/>
        </w:tabs>
        <w:rPr>
          <w:rFonts w:ascii="Courier 10cpi" w:hAnsi="Courier 10cpi"/>
          <w:lang w:val="en-CA"/>
        </w:rPr>
      </w:pPr>
      <w:r>
        <w:rPr>
          <w:rFonts w:ascii="Courier 10cpi" w:hAnsi="Courier 10cpi"/>
          <w:lang w:val="en-CA"/>
        </w:rPr>
        <w:tab/>
        <w:t>[57:A:1]</w:t>
      </w:r>
    </w:p>
    <w:p w:rsidR="00DE239F" w:rsidRDefault="00DE239F">
      <w:pPr>
        <w:widowControl w:val="0"/>
        <w:rPr>
          <w:rFonts w:ascii="Courier 10cpi" w:hAnsi="Courier 10cpi"/>
          <w:lang w:val="en-CA"/>
        </w:rPr>
      </w:pPr>
    </w:p>
    <w:p w:rsidR="00DE239F" w:rsidRDefault="00DE239F">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Avis de requête</w:t>
      </w:r>
    </w:p>
    <w:p w:rsidR="00DE239F" w:rsidRDefault="00DE239F">
      <w:pPr>
        <w:widowControl w:val="0"/>
        <w:rPr>
          <w:rFonts w:ascii="Courier 10cpi" w:hAnsi="Courier 10cpi"/>
          <w:lang w:val="en-CA"/>
        </w:rPr>
      </w:pPr>
    </w:p>
    <w:p w:rsidR="00DE239F" w:rsidRDefault="00DE239F">
      <w:pPr>
        <w:widowControl w:val="0"/>
        <w:rPr>
          <w:rFonts w:ascii="Courier 10cpi" w:hAnsi="Courier 10cpi"/>
          <w:lang w:val="en-CA"/>
        </w:rPr>
      </w:pPr>
    </w:p>
    <w:p w:rsidR="00DE239F" w:rsidRDefault="00DE239F">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DE239F" w:rsidRDefault="00DE239F">
      <w:pPr>
        <w:widowControl w:val="0"/>
        <w:rPr>
          <w:rFonts w:ascii="Courier 10cpi" w:hAnsi="Courier 10cpi"/>
          <w:lang w:val="en-CA"/>
        </w:rPr>
      </w:pPr>
    </w:p>
    <w:p w:rsidR="00DE239F" w:rsidRDefault="00DE239F">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DE239F" w:rsidRDefault="00DE239F">
      <w:pPr>
        <w:widowControl w:val="0"/>
        <w:rPr>
          <w:rFonts w:ascii="Courier 10cpi" w:hAnsi="Courier 10cpi"/>
          <w:lang w:val="en-CA"/>
        </w:rPr>
      </w:pPr>
    </w:p>
    <w:p w:rsidR="00DE239F" w:rsidRDefault="00DE239F">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DE239F" w:rsidRDefault="00DE239F">
      <w:pPr>
        <w:widowControl w:val="0"/>
        <w:rPr>
          <w:rFonts w:ascii="Courier 10cpi" w:hAnsi="Courier 10cpi"/>
          <w:lang w:val="en-CA"/>
        </w:rPr>
      </w:pPr>
    </w:p>
    <w:p w:rsidR="00DE239F" w:rsidRDefault="00DE239F">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DE239F" w:rsidRDefault="00DE239F">
      <w:pPr>
        <w:widowControl w:val="0"/>
        <w:rPr>
          <w:rFonts w:ascii="Courier 10cpi" w:hAnsi="Courier 10cpi"/>
          <w:lang w:val="en-CA"/>
        </w:rPr>
      </w:pPr>
    </w:p>
    <w:p w:rsidR="00DE239F" w:rsidRDefault="00DE239F">
      <w:pPr>
        <w:widowControl w:val="0"/>
        <w:tabs>
          <w:tab w:val="center" w:pos="4680"/>
        </w:tabs>
        <w:rPr>
          <w:rFonts w:ascii="Courier 10cpi" w:hAnsi="Courier 10cpi"/>
          <w:lang w:val="en-CA"/>
        </w:rPr>
      </w:pPr>
      <w:r>
        <w:rPr>
          <w:rFonts w:ascii="Courier 10cpi" w:hAnsi="Courier 10cpi"/>
          <w:lang w:val="en-CA"/>
        </w:rPr>
        <w:tab/>
        <w:t>REQUÊTE</w:t>
      </w:r>
    </w:p>
    <w:p w:rsidR="00DE239F" w:rsidRDefault="00DE239F">
      <w:pPr>
        <w:widowControl w:val="0"/>
        <w:rPr>
          <w:rFonts w:ascii="Courier 10cpi" w:hAnsi="Courier 10cpi"/>
          <w:lang w:val="en-CA"/>
        </w:rPr>
      </w:pPr>
    </w:p>
    <w:p w:rsidR="00DE239F" w:rsidRDefault="00DE239F">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 xml:space="preserve">le texte formel précédant la requête </w:t>
      </w:r>
    </w:p>
    <w:p w:rsidR="00DE239F" w:rsidRDefault="00DE239F">
      <w:pPr>
        <w:widowControl w:val="0"/>
        <w:tabs>
          <w:tab w:val="center" w:pos="4680"/>
        </w:tabs>
        <w:rPr>
          <w:rFonts w:ascii="Courier 10cpi" w:hAnsi="Courier 10cpi"/>
          <w:lang w:val="en-CA"/>
        </w:rPr>
      </w:pPr>
      <w:r>
        <w:rPr>
          <w:rFonts w:ascii="Courier 10cpi" w:hAnsi="Courier 10cpi"/>
          <w:i/>
          <w:lang w:val="en-CA"/>
        </w:rPr>
        <w:tab/>
        <w:t>figure au chapitre 5</w:t>
      </w:r>
      <w:r>
        <w:rPr>
          <w:rFonts w:ascii="Courier 10cpi" w:hAnsi="Courier 10cpi"/>
          <w:lang w:val="en-CA"/>
        </w:rPr>
        <w:t>]</w:t>
      </w:r>
    </w:p>
    <w:p w:rsidR="00DE239F" w:rsidRDefault="00DE239F">
      <w:pPr>
        <w:widowControl w:val="0"/>
        <w:rPr>
          <w:rFonts w:ascii="Courier 10cpi" w:hAnsi="Courier 10cpi"/>
          <w:lang w:val="en-CA"/>
        </w:rPr>
      </w:pPr>
    </w:p>
    <w:p w:rsidR="00DE239F" w:rsidRDefault="00DE239F">
      <w:pPr>
        <w:widowControl w:val="0"/>
        <w:rPr>
          <w:rFonts w:ascii="Courier 10cpi" w:hAnsi="Courier 10cpi"/>
          <w:lang w:val="en-CA"/>
        </w:rPr>
      </w:pPr>
      <w:r>
        <w:rPr>
          <w:rFonts w:ascii="Courier 10cpi" w:hAnsi="Courier 10cpi"/>
          <w:lang w:val="en-CA"/>
        </w:rPr>
        <w:t>1.</w:t>
      </w:r>
      <w:r>
        <w:rPr>
          <w:rFonts w:ascii="Courier 10cpi" w:hAnsi="Courier 10cpi"/>
          <w:lang w:val="en-CA"/>
        </w:rPr>
        <w:tab/>
        <w:t>L'objet de la requête est le suivant :</w:t>
      </w:r>
    </w:p>
    <w:p w:rsidR="00DE239F" w:rsidRDefault="00DE239F">
      <w:pPr>
        <w:widowControl w:val="0"/>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une déclaration portant que la requérante est exemptée de l'évaluation et n'est pas assujettie à l'évaluation relative à la taxe d'affaire.</w:t>
      </w:r>
    </w:p>
    <w:p w:rsidR="00DE239F" w:rsidRDefault="00DE239F">
      <w:pPr>
        <w:widowControl w:val="0"/>
        <w:rPr>
          <w:rFonts w:ascii="Courier 10cpi" w:hAnsi="Courier 10cpi"/>
          <w:lang w:val="en-CA"/>
        </w:rPr>
      </w:pPr>
    </w:p>
    <w:p w:rsidR="00DE239F" w:rsidRDefault="00DE239F">
      <w:pPr>
        <w:widowControl w:val="0"/>
        <w:rPr>
          <w:rFonts w:ascii="Courier 10cpi" w:hAnsi="Courier 10cpi"/>
          <w:lang w:val="en-CA"/>
        </w:rPr>
      </w:pPr>
      <w:r>
        <w:rPr>
          <w:rFonts w:ascii="Courier 10cpi" w:hAnsi="Courier 10cpi"/>
          <w:lang w:val="en-CA"/>
        </w:rPr>
        <w:t>2.</w:t>
      </w:r>
      <w:r>
        <w:rPr>
          <w:rFonts w:ascii="Courier 10cpi" w:hAnsi="Courier 10cpi"/>
          <w:lang w:val="en-CA"/>
        </w:rPr>
        <w:tab/>
        <w:t>Les moyens à l'appui de la requête sont les suivants :</w:t>
      </w:r>
    </w:p>
    <w:p w:rsidR="00DE239F" w:rsidRDefault="00DE239F">
      <w:pPr>
        <w:widowControl w:val="0"/>
        <w:ind w:left="1440" w:hanging="720"/>
        <w:rPr>
          <w:rFonts w:ascii="Courier 10cpi" w:hAnsi="Courier 10cpi"/>
          <w:lang w:val="en-CA"/>
        </w:rPr>
      </w:pPr>
      <w:r>
        <w:rPr>
          <w:rFonts w:ascii="Courier 10cpi" w:hAnsi="Courier 10cpi"/>
          <w:lang w:val="en-CA"/>
        </w:rPr>
        <w:t>a)</w:t>
      </w:r>
      <w:r>
        <w:rPr>
          <w:rFonts w:ascii="Courier 10cpi" w:hAnsi="Courier 10cpi"/>
          <w:lang w:val="en-CA"/>
        </w:rPr>
        <w:tab/>
        <w:t>la requérante est une personne morale sans capital-actions constituée dans le but de construire et d'exploiter une installation de buanderie et d'en détenir la propriété afin de fournir des services de buanderie centralisés aux hôpitaux publics et autres établissements semblables situés au centre-ville de Toronto;</w:t>
      </w:r>
    </w:p>
    <w:p w:rsidR="00DE239F" w:rsidRDefault="00DE239F">
      <w:pPr>
        <w:widowControl w:val="0"/>
        <w:ind w:left="1440" w:hanging="720"/>
        <w:rPr>
          <w:rFonts w:ascii="Courier 10cpi" w:hAnsi="Courier 10cpi"/>
          <w:lang w:val="en-CA"/>
        </w:rPr>
      </w:pPr>
      <w:r>
        <w:rPr>
          <w:rFonts w:ascii="Courier 10cpi" w:hAnsi="Courier 10cpi"/>
          <w:lang w:val="en-CA"/>
        </w:rPr>
        <w:t>b)</w:t>
      </w:r>
      <w:r>
        <w:rPr>
          <w:rFonts w:ascii="Courier 10cpi" w:hAnsi="Courier 10cpi"/>
          <w:lang w:val="en-CA"/>
        </w:rPr>
        <w:tab/>
        <w:t>la requérante n'exploite pas son entreprise dans le but de procurer des gains à ses membres; ses bénéfices, si tant est qu'elle en réalise, sont utilisés pour favoriser la réalisation de ses objets;</w:t>
      </w:r>
    </w:p>
    <w:p w:rsidR="00DE239F" w:rsidRDefault="00DE239F">
      <w:pPr>
        <w:widowControl w:val="0"/>
        <w:ind w:left="1440" w:hanging="720"/>
        <w:rPr>
          <w:rFonts w:ascii="Courier 10cpi" w:hAnsi="Courier 10cpi"/>
          <w:lang w:val="en-CA"/>
        </w:rPr>
      </w:pPr>
      <w:r>
        <w:rPr>
          <w:rFonts w:ascii="Courier 10cpi" w:hAnsi="Courier 10cpi"/>
          <w:lang w:val="en-CA"/>
        </w:rPr>
        <w:t>c)</w:t>
      </w:r>
      <w:r>
        <w:rPr>
          <w:rFonts w:ascii="Courier 10cpi" w:hAnsi="Courier 10cpi"/>
          <w:lang w:val="en-CA"/>
        </w:rPr>
        <w:tab/>
        <w:t>la requérante demande aux hôpitaux participants, pour ses services de buanderie, une somme qui équivaut à ses frais d'exploitation;</w:t>
      </w:r>
    </w:p>
    <w:p w:rsidR="00DE239F" w:rsidRDefault="00DE239F">
      <w:pPr>
        <w:widowControl w:val="0"/>
        <w:ind w:left="1440" w:hanging="720"/>
        <w:rPr>
          <w:rFonts w:ascii="Courier 10cpi" w:hAnsi="Courier 10cpi"/>
          <w:lang w:val="en-CA"/>
        </w:rPr>
      </w:pPr>
      <w:r>
        <w:rPr>
          <w:rFonts w:ascii="Courier 10cpi" w:hAnsi="Courier 10cpi"/>
          <w:lang w:val="en-CA"/>
        </w:rPr>
        <w:t>d)</w:t>
      </w:r>
      <w:r>
        <w:rPr>
          <w:rFonts w:ascii="Courier 10cpi" w:hAnsi="Courier 10cpi"/>
          <w:lang w:val="en-CA"/>
        </w:rPr>
        <w:tab/>
        <w:t>la requérante est mandataire des hôpitaux participants et, en cette qualité, elle n'est pas assujettie à la taxe d'affaire;</w:t>
      </w:r>
    </w:p>
    <w:p w:rsidR="00DE239F" w:rsidRDefault="00DE239F">
      <w:pPr>
        <w:widowControl w:val="0"/>
        <w:ind w:left="1440" w:hanging="720"/>
        <w:rPr>
          <w:rFonts w:ascii="Courier 10cpi" w:hAnsi="Courier 10cpi"/>
          <w:lang w:val="en-CA"/>
        </w:rPr>
      </w:pPr>
      <w:r>
        <w:rPr>
          <w:rFonts w:ascii="Courier 10cpi" w:hAnsi="Courier 10cpi"/>
          <w:lang w:val="en-CA"/>
        </w:rPr>
        <w:t>e)</w:t>
      </w:r>
      <w:r>
        <w:rPr>
          <w:rFonts w:ascii="Courier 10cpi" w:hAnsi="Courier 10cpi"/>
          <w:lang w:val="en-CA"/>
        </w:rPr>
        <w:tab/>
        <w:t xml:space="preserve">la requérante s'appuie sur l'art. </w:t>
      </w:r>
      <w:r>
        <w:rPr>
          <w:rFonts w:ascii="Courier 10cpi" w:hAnsi="Courier 10cpi"/>
          <w:color w:val="FF0000"/>
          <w:lang w:val="en-CA"/>
        </w:rPr>
        <w:t>46(1) [</w:t>
      </w:r>
      <w:r>
        <w:rPr>
          <w:rFonts w:ascii="Courier 10cpi" w:hAnsi="Courier 10cpi"/>
          <w:i/>
          <w:color w:val="FF0000"/>
          <w:lang w:val="en-CA"/>
        </w:rPr>
        <w:t>ou sur l'article 61 lorsque la requête n'est pas intentée dans les soixante jours de la date à laquelle le dépôt du rôle d'évaluation est exigé par la loi ou dans les soixante jours de la date où le rôle est effectivement déposé</w:t>
      </w:r>
      <w:r>
        <w:rPr>
          <w:rFonts w:ascii="Courier 10cpi" w:hAnsi="Courier 10cpi"/>
          <w:color w:val="FF0000"/>
          <w:lang w:val="en-CA"/>
        </w:rPr>
        <w:t>] de la</w:t>
      </w:r>
      <w:r>
        <w:rPr>
          <w:rFonts w:ascii="Courier 10cpi" w:hAnsi="Courier 10cpi"/>
          <w:i/>
          <w:color w:val="FF0000"/>
          <w:lang w:val="en-CA"/>
        </w:rPr>
        <w:t xml:space="preserve"> Loi sur l'évaluation foncière</w:t>
      </w:r>
      <w:r>
        <w:rPr>
          <w:rFonts w:ascii="Courier 10cpi" w:hAnsi="Courier 10cpi"/>
          <w:color w:val="FF0000"/>
          <w:lang w:val="en-CA"/>
        </w:rPr>
        <w:t>, L.R.O. 1990, chap. A.31</w:t>
      </w:r>
      <w:r>
        <w:rPr>
          <w:rFonts w:ascii="Courier 10cpi" w:hAnsi="Courier 10cpi"/>
          <w:lang w:val="en-CA"/>
        </w:rPr>
        <w:t>, et sur le par. 14.05(2) des Règles de procédure civile.</w:t>
      </w:r>
    </w:p>
    <w:p w:rsidR="00DE239F" w:rsidRDefault="00DE239F">
      <w:pPr>
        <w:widowControl w:val="0"/>
        <w:rPr>
          <w:rFonts w:ascii="Courier 10cpi" w:hAnsi="Courier 10cpi"/>
          <w:lang w:val="en-CA"/>
        </w:rPr>
      </w:pPr>
    </w:p>
    <w:p w:rsidR="00DE239F" w:rsidRDefault="00DE239F">
      <w:pPr>
        <w:widowControl w:val="0"/>
        <w:rPr>
          <w:rFonts w:ascii="Courier 10cpi" w:hAnsi="Courier 10cpi"/>
          <w:lang w:val="en-CA"/>
        </w:rPr>
      </w:pPr>
      <w:r>
        <w:rPr>
          <w:rFonts w:ascii="Courier 10cpi" w:hAnsi="Courier 10cpi"/>
          <w:lang w:val="en-CA"/>
        </w:rPr>
        <w:t>3.</w:t>
      </w:r>
      <w:r>
        <w:rPr>
          <w:rFonts w:ascii="Courier 10cpi" w:hAnsi="Courier 10cpi"/>
          <w:lang w:val="en-CA"/>
        </w:rPr>
        <w:tab/>
        <w:t>La preuve documentaire suivante sera utilisée lors de l'audition de la requête :</w:t>
      </w:r>
    </w:p>
    <w:p w:rsidR="00DE239F" w:rsidRDefault="00DE239F">
      <w:pPr>
        <w:widowControl w:val="0"/>
        <w:ind w:left="1440" w:hanging="720"/>
        <w:rPr>
          <w:rFonts w:ascii="Courier 10cpi" w:hAnsi="Courier 10cpi"/>
          <w:lang w:val="en-CA"/>
        </w:rPr>
      </w:pPr>
      <w:r>
        <w:rPr>
          <w:rFonts w:ascii="Courier 10cpi" w:hAnsi="Courier 10cpi"/>
          <w:lang w:val="en-CA"/>
        </w:rPr>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qui y sont jointes.</w:t>
      </w:r>
    </w:p>
    <w:p w:rsidR="00DE239F" w:rsidRDefault="00DE239F">
      <w:pPr>
        <w:widowControl w:val="0"/>
        <w:rPr>
          <w:rFonts w:ascii="Courier 10cpi" w:hAnsi="Courier 10cpi"/>
          <w:lang w:val="en-CA"/>
        </w:rPr>
      </w:pPr>
    </w:p>
    <w:p w:rsidR="00DE239F" w:rsidRDefault="00DE239F">
      <w:pPr>
        <w:widowControl w:val="0"/>
        <w:rPr>
          <w:rFonts w:ascii="Courier 10cpi" w:hAnsi="Courier 10cpi"/>
          <w:lang w:val="en-CA"/>
        </w:rPr>
      </w:pPr>
    </w:p>
    <w:p w:rsidR="00DE239F" w:rsidRDefault="00DE239F">
      <w:pPr>
        <w:widowControl w:val="0"/>
        <w:ind w:left="3600" w:hanging="360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du cabinet des procureurs</w:t>
      </w:r>
      <w:r>
        <w:rPr>
          <w:rFonts w:ascii="Courier 10cpi" w:hAnsi="Courier 10cpi"/>
          <w:lang w:val="en-CA"/>
        </w:rPr>
        <w:t>]</w:t>
      </w:r>
    </w:p>
    <w:p w:rsidR="00DE239F" w:rsidRDefault="00DE239F">
      <w:pPr>
        <w:widowControl w:val="0"/>
        <w:rPr>
          <w:rFonts w:ascii="Courier 10cpi" w:hAnsi="Courier 10cpi"/>
          <w:lang w:val="en-CA"/>
        </w:rPr>
      </w:pPr>
    </w:p>
    <w:p w:rsidR="00DE239F" w:rsidRDefault="00DE239F">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 requérante</w:t>
      </w:r>
    </w:p>
    <w:p w:rsidR="00DE239F" w:rsidRDefault="00DE239F">
      <w:pPr>
        <w:widowControl w:val="0"/>
        <w:rPr>
          <w:rFonts w:ascii="Courier 10cpi" w:hAnsi="Courier 10cpi"/>
          <w:lang w:val="en-CA"/>
        </w:rPr>
      </w:pPr>
    </w:p>
    <w:p w:rsidR="00DE239F" w:rsidRDefault="00DE239F">
      <w:pPr>
        <w:widowControl w:val="0"/>
        <w:rPr>
          <w:rFonts w:ascii="Courier 10cpi" w:hAnsi="Courier 10cpi"/>
          <w:lang w:val="en-CA"/>
        </w:rPr>
      </w:pPr>
      <w:r>
        <w:rPr>
          <w:rFonts w:ascii="Courier 10cpi" w:hAnsi="Courier 10cpi"/>
          <w:lang w:val="en-CA"/>
        </w:rPr>
        <w:t>DESTINATAIRE :</w:t>
      </w:r>
      <w:r>
        <w:rPr>
          <w:rFonts w:ascii="Courier 10cpi" w:hAnsi="Courier 10cpi"/>
          <w:lang w:val="en-CA"/>
        </w:rPr>
        <w:tab/>
        <w:t>[</w:t>
      </w:r>
      <w:r>
        <w:rPr>
          <w:rFonts w:ascii="Courier 10cpi" w:hAnsi="Courier 10cpi"/>
          <w:i/>
          <w:lang w:val="en-CA"/>
        </w:rPr>
        <w:t>nom du cabinet des procureurs</w:t>
      </w:r>
      <w:r>
        <w:rPr>
          <w:rFonts w:ascii="Courier 10cpi" w:hAnsi="Courier 10cpi"/>
          <w:lang w:val="en-CA"/>
        </w:rPr>
        <w:t>]</w:t>
      </w:r>
    </w:p>
    <w:p w:rsidR="00DE239F" w:rsidRDefault="00DE239F">
      <w:pPr>
        <w:widowControl w:val="0"/>
        <w:rPr>
          <w:rFonts w:ascii="Courier 10cpi" w:hAnsi="Courier 10cpi"/>
          <w:lang w:val="en-CA"/>
        </w:rPr>
      </w:pPr>
    </w:p>
    <w:p w:rsidR="00DE239F" w:rsidRDefault="00DE239F">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adresse</w:t>
      </w:r>
      <w:r>
        <w:rPr>
          <w:rFonts w:ascii="Courier 10cpi" w:hAnsi="Courier 10cpi"/>
          <w:lang w:val="en-CA"/>
        </w:rPr>
        <w:t>]</w:t>
      </w:r>
    </w:p>
    <w:sectPr w:rsidR="00DE239F" w:rsidSect="00DE239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39F"/>
    <w:rsid w:val="00DE239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