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05" w:rsidRDefault="00EB0A05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EB0A05" w:rsidRDefault="00EB0A05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[61:C:3]</w:t>
      </w:r>
    </w:p>
    <w:p w:rsidR="00EB0A05" w:rsidRDefault="00EB0A05">
      <w:pPr>
        <w:widowControl w:val="0"/>
        <w:rPr>
          <w:rFonts w:ascii="Courier 10cpi" w:hAnsi="Courier 10cpi"/>
          <w:b/>
          <w:lang w:val="en-CA"/>
        </w:rPr>
      </w:pPr>
    </w:p>
    <w:p w:rsidR="00EB0A05" w:rsidRDefault="00EB0A0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color w:val="FF0000"/>
          <w:lang w:val="en-CA"/>
        </w:rPr>
        <w:t xml:space="preserve">L'article 111 de la </w:t>
      </w:r>
      <w:r>
        <w:rPr>
          <w:rFonts w:ascii="Courier 10cpi" w:hAnsi="Courier 10cpi"/>
          <w:i/>
          <w:color w:val="FF0000"/>
          <w:lang w:val="en-CA"/>
        </w:rPr>
        <w:t>Loi sur les liquidations</w:t>
      </w:r>
      <w:r>
        <w:rPr>
          <w:rFonts w:ascii="Courier 10cpi" w:hAnsi="Courier 10cpi"/>
          <w:color w:val="FF0000"/>
          <w:lang w:val="en-CA"/>
        </w:rPr>
        <w:t>, L.R.C. 1985, chap. W-11, prévoit que, après qu'une ordonnance de mise en liquidation a été rendue, le tribunal peut, de la manière qu'il juge à propos, par un ordre de renvoi, remettre et déléguer, conformément à la pratique et à la procédure suivies par lui, à un de ses fonctionnaires, certains pouvoirs qui lui sont conférés par la Loi, sous réserve d'appel en conformité avec la pratique du tribunal en pareil cas. Cette disposition fonde le tribunal à confier le renvoi au protonotaire et à lui déléguer les pouvoirs nécessaires à cette fin. Voir le au paragraphe 4 du jugement ci-dessous</w:t>
      </w:r>
      <w:r>
        <w:rPr>
          <w:rFonts w:ascii="Courier 10cpi" w:hAnsi="Courier 10cpi"/>
          <w:lang w:val="en-CA"/>
        </w:rPr>
        <w:t>.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présentée par voie de pétition a été entendue aujourd'hui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], en présence des avocats de toutes les parties.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LA PÉTITION ET LA PREUVE DÉPOSÉE PAR LES PARTIES, et après avoir entendu les plaidoiries des avocats des parties,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DÉCLARE que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 xml:space="preserve">] Limitée est une compagnie assujettie à la </w:t>
      </w:r>
      <w:r>
        <w:rPr>
          <w:rFonts w:ascii="Courier 10cpi" w:hAnsi="Courier 10cpi"/>
          <w:i/>
          <w:lang w:val="en-CA"/>
        </w:rPr>
        <w:t>Loi sur les liquidations</w:t>
      </w:r>
      <w:r>
        <w:rPr>
          <w:rFonts w:ascii="Courier 10cpi" w:hAnsi="Courier 10cpi"/>
          <w:lang w:val="en-CA"/>
        </w:rPr>
        <w:t xml:space="preserve"> et qu'il est juste et équitable qu'elle soit liquidée par la présente Cour en vertu de ladite Loi.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 xml:space="preserve">] Limitée soit liquidée en vertu de la </w:t>
      </w:r>
      <w:r>
        <w:rPr>
          <w:rFonts w:ascii="Courier 10cpi" w:hAnsi="Courier 10cpi"/>
          <w:i/>
          <w:lang w:val="en-CA"/>
        </w:rPr>
        <w:t>Loi sur les liquidations</w:t>
      </w:r>
      <w:r>
        <w:rPr>
          <w:rFonts w:ascii="Courier 10cpi" w:hAnsi="Courier 10cpi"/>
          <w:lang w:val="en-CA"/>
        </w:rPr>
        <w:t>, L.R.C. 1985, chap. W-11.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que la société de fiducie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du Canada soit nommée liquidatrice provisoire des biens et effets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Limitée.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RENVOIE la nomination d'un liquidateur permanent pour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 devant un protonotaire de la Cour de l'Ontario (Division générale)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 xml:space="preserve">], il habilite le protonotaire à prendre toutes les mesures nécessaires à cet égard, il enjoint à la protonotaire d'exercer ce pouvoir et il lui attribue tous les pouvoirs conférés à la Cour par la </w:t>
      </w:r>
      <w:r>
        <w:rPr>
          <w:rFonts w:ascii="Courier 10cpi" w:hAnsi="Courier 10cpi"/>
          <w:i/>
          <w:lang w:val="en-CA"/>
        </w:rPr>
        <w:t>Loi sur les liquidations</w:t>
      </w:r>
      <w:r>
        <w:rPr>
          <w:rFonts w:ascii="Courier 10cpi" w:hAnsi="Courier 10cpi"/>
          <w:lang w:val="en-CA"/>
        </w:rPr>
        <w:t xml:space="preserve"> aux fins de la liquidation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Limitée.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 TRIBUNAL ORDONNE que les dépens de la présente pétition, de la liquidation et du renvoi soient liquidés et payés au requérant en utilisant les éléments d'actif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Limitée.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p w:rsidR="00EB0A05" w:rsidRDefault="00EB0A0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p w:rsidR="00EB0A05" w:rsidRDefault="00EB0A05">
      <w:pPr>
        <w:widowControl w:val="0"/>
        <w:rPr>
          <w:rFonts w:ascii="Courier 10cpi" w:hAnsi="Courier 10cpi"/>
          <w:lang w:val="en-CA"/>
        </w:rPr>
      </w:pPr>
    </w:p>
    <w:sectPr w:rsidR="00EB0A05" w:rsidSect="00EB0A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A05"/>
    <w:rsid w:val="00EB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