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8E" w:rsidRDefault="0048318E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8318E" w:rsidRDefault="0048318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[81:A:3]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Réponse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RÉPONSE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cabinet demandeur admet les allégations contenues au paragraphe 3 de la défense;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cabinet demandeur nie les allégations contenues aux paragraphes 4 à 8 de la défense;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Il a été expliqué à la défenderesse que l'estimation que lui a fournie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serait probablement modifiée si les faits exposés par la défenderesse se révélaient inexacts, ou si la cause  s'avérait plus complexe que prévu, compte tenu des renseignements que la défenderesse communiquerait à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]. 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En fait, la défenderesse a négligé de communiquer plusieurs documents pertinents à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Ces documents révélaient que cette affaire, qui avait été présentée à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comme une action en recouvrement relativement simple, soulevait des allégations de déloyauté.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 reprochait à la défenderesse de s'être approprié certains de ses secrets de commerce et de les avoir utilisés à son profit.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 a fait valoir une demande reconventionnelle substantielle contre la défenderesse à cet égard.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La défenderesse, généralement par l'entremise de son président, M.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 été régulièrement informée que les honoraires et les débours pour la conduite de l'action, y compris ceux de la défense à la demande reconventionnelle, excéderaient de beaucoup l'estimation donnée par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 Le cabinet demandeur a présenté des états de compte à la défenderesse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], et il n'a alors reçu aucune plainte. La défenderesse n'a d'ailleurs soulevé la question de l'estimation fournie par M</w:t>
      </w:r>
      <w:r>
        <w:rPr>
          <w:rFonts w:ascii="Courier 10cpi" w:hAnsi="Courier 10cpi"/>
          <w:vertAlign w:val="superscript"/>
          <w:lang w:val="en-CA"/>
        </w:rPr>
        <w:t>e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qu'après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date à laquelle le cabinet demandeur a exigé le paiement de plusieurs comptes en souffrance.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8318E" w:rsidRDefault="0048318E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cabinet demandeur</w:t>
      </w:r>
    </w:p>
    <w:sectPr w:rsidR="0048318E" w:rsidSect="004831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18E"/>
    <w:rsid w:val="0048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