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65" w:rsidRDefault="00DE6765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DE6765" w:rsidRDefault="00DE6765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[82:A:22]</w:t>
      </w:r>
    </w:p>
    <w:p w:rsidR="00DE6765" w:rsidRDefault="00DE6765">
      <w:pPr>
        <w:widowControl w:val="0"/>
        <w:rPr>
          <w:rFonts w:ascii="Courier 10cpi" w:hAnsi="Courier 10cpi"/>
          <w:b/>
          <w:lang w:val="en-CA"/>
        </w:rPr>
      </w:pPr>
    </w:p>
    <w:p w:rsidR="00DE6765" w:rsidRDefault="00DE676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 annulant une convention</w:t>
      </w:r>
    </w:p>
    <w:p w:rsidR="00DE6765" w:rsidRDefault="00DE6765">
      <w:pPr>
        <w:widowControl w:val="0"/>
        <w:rPr>
          <w:rFonts w:ascii="Courier 10cpi" w:hAnsi="Courier 10cpi"/>
          <w:lang w:val="en-CA"/>
        </w:rPr>
      </w:pPr>
    </w:p>
    <w:p w:rsidR="00DE6765" w:rsidRDefault="00DE6765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E6765" w:rsidRDefault="00DE6765">
      <w:pPr>
        <w:widowControl w:val="0"/>
        <w:rPr>
          <w:rFonts w:ascii="Courier 10cpi" w:hAnsi="Courier 10cpi"/>
          <w:lang w:val="en-CA"/>
        </w:rPr>
      </w:pPr>
    </w:p>
    <w:p w:rsidR="00DE6765" w:rsidRDefault="00DE676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DE6765" w:rsidRDefault="00DE6765">
      <w:pPr>
        <w:widowControl w:val="0"/>
        <w:rPr>
          <w:rFonts w:ascii="Courier 10cpi" w:hAnsi="Courier 10cpi"/>
          <w:lang w:val="en-CA"/>
        </w:rPr>
      </w:pPr>
    </w:p>
    <w:p w:rsidR="00DE6765" w:rsidRDefault="00DE676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DE6765" w:rsidRDefault="00DE676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E6765" w:rsidRDefault="00DE6765">
      <w:pPr>
        <w:widowControl w:val="0"/>
        <w:rPr>
          <w:rFonts w:ascii="Courier 10cpi" w:hAnsi="Courier 10cpi"/>
          <w:lang w:val="en-CA"/>
        </w:rPr>
      </w:pPr>
    </w:p>
    <w:p w:rsidR="00DE6765" w:rsidRDefault="00DE676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DE6765" w:rsidRDefault="00DE6765">
      <w:pPr>
        <w:widowControl w:val="0"/>
        <w:rPr>
          <w:rFonts w:ascii="Courier 10cpi" w:hAnsi="Courier 10cpi"/>
          <w:lang w:val="en-CA"/>
        </w:rPr>
      </w:pPr>
    </w:p>
    <w:p w:rsidR="00DE6765" w:rsidRDefault="00DE676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DE6765" w:rsidRDefault="00DE6765">
      <w:pPr>
        <w:widowControl w:val="0"/>
        <w:rPr>
          <w:rFonts w:ascii="Courier 10cpi" w:hAnsi="Courier 10cpi"/>
          <w:lang w:val="en-CA"/>
        </w:rPr>
      </w:pPr>
    </w:p>
    <w:p w:rsidR="00DE6765" w:rsidRDefault="00DE6765">
      <w:pPr>
        <w:widowControl w:val="0"/>
        <w:rPr>
          <w:rFonts w:ascii="Courier 10cpi" w:hAnsi="Courier 10cpi"/>
          <w:lang w:val="en-CA"/>
        </w:rPr>
      </w:pPr>
    </w:p>
    <w:p w:rsidR="00DE6765" w:rsidRDefault="00DE676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DE6765" w:rsidRDefault="00DE6765">
      <w:pPr>
        <w:widowControl w:val="0"/>
        <w:rPr>
          <w:rFonts w:ascii="Courier 10cpi" w:hAnsi="Courier 10cpi"/>
          <w:lang w:val="en-CA"/>
        </w:rPr>
      </w:pPr>
    </w:p>
    <w:p w:rsidR="00DE6765" w:rsidRDefault="00DE676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ACTION a été entendue les [</w:t>
      </w:r>
      <w:r>
        <w:rPr>
          <w:rFonts w:ascii="Courier 10cpi" w:hAnsi="Courier 10cpi"/>
          <w:i/>
          <w:lang w:val="en-CA"/>
        </w:rPr>
        <w:t>dates</w:t>
      </w:r>
      <w:r>
        <w:rPr>
          <w:rFonts w:ascii="Courier 10cpi" w:hAnsi="Courier 10cpi"/>
          <w:lang w:val="en-CA"/>
        </w:rPr>
        <w:t>] sans jury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avocats des parties.</w:t>
      </w:r>
    </w:p>
    <w:p w:rsidR="00DE6765" w:rsidRDefault="00DE6765">
      <w:pPr>
        <w:widowControl w:val="0"/>
        <w:rPr>
          <w:rFonts w:ascii="Courier 10cpi" w:hAnsi="Courier 10cpi"/>
          <w:lang w:val="en-CA"/>
        </w:rPr>
      </w:pPr>
    </w:p>
    <w:p w:rsidR="00DE6765" w:rsidRDefault="00DE676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LES ACTES DE PROCÉDURE ET ENTENDU LA PREUVE et les plaidoiries des avocats des parties,</w:t>
      </w:r>
    </w:p>
    <w:p w:rsidR="00DE6765" w:rsidRDefault="00DE6765">
      <w:pPr>
        <w:widowControl w:val="0"/>
        <w:rPr>
          <w:rFonts w:ascii="Courier 10cpi" w:hAnsi="Courier 10cpi"/>
          <w:lang w:val="en-CA"/>
        </w:rPr>
      </w:pPr>
    </w:p>
    <w:p w:rsidR="00DE6765" w:rsidRDefault="00DE676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STATUE ET IL ANNULE ET DÉCLARE SANS EFFET la convention conclue entre les demandeurs et les défendeurs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ou vers cette date.</w:t>
      </w:r>
    </w:p>
    <w:p w:rsidR="00DE6765" w:rsidRDefault="00DE6765">
      <w:pPr>
        <w:widowControl w:val="0"/>
        <w:rPr>
          <w:rFonts w:ascii="Courier 10cpi" w:hAnsi="Courier 10cpi"/>
          <w:lang w:val="en-CA"/>
        </w:rPr>
      </w:pPr>
    </w:p>
    <w:p w:rsidR="00DE6765" w:rsidRDefault="00DE676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STATUE ET IL ORDONNE que le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remette immédiatement aux demandeurs, ou à la personne qu'ils peuvent mandater à cette fin, l'acte formaliste désigné dans les actes de procédure en l'espèce, qui entend opérer un transport entre les demandeurs et le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ainsi que l'hypothèque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se trouve désignée dans les actes de procédure, et qui a été enregistrée au ...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sous le numéro ...; LE TRIBUNAL STATUE ET IL ORDONNE que toute mésentente intervenue entre les parties au sujet de cette rétrocession soit réglée par le protonotaire de cette Cour à ....</w:t>
      </w:r>
    </w:p>
    <w:p w:rsidR="00DE6765" w:rsidRDefault="00DE6765">
      <w:pPr>
        <w:widowControl w:val="0"/>
        <w:rPr>
          <w:rFonts w:ascii="Courier 10cpi" w:hAnsi="Courier 10cpi"/>
          <w:lang w:val="en-CA"/>
        </w:rPr>
      </w:pPr>
    </w:p>
    <w:p w:rsidR="00DE6765" w:rsidRDefault="00DE676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STATUE ET IL ORDONNE que les dépens de la présente action soient payés par les défendeurs aux demandeurs dès leur liquidation.</w:t>
      </w:r>
    </w:p>
    <w:p w:rsidR="00DE6765" w:rsidRDefault="00DE6765">
      <w:pPr>
        <w:widowControl w:val="0"/>
        <w:rPr>
          <w:rFonts w:ascii="Courier 10cpi" w:hAnsi="Courier 10cpi"/>
          <w:lang w:val="en-CA"/>
        </w:rPr>
      </w:pPr>
    </w:p>
    <w:p w:rsidR="00DE6765" w:rsidRDefault="00DE676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DE6765" w:rsidRDefault="00DE676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DE6765" w:rsidSect="00DE67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765"/>
    <w:rsid w:val="00DE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