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70" w:rsidRDefault="00637F70">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E. INSTRUCTION D'UNE QUESTION EN LITIGE</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w:t>
      </w:r>
      <w:r>
        <w:rPr>
          <w:rFonts w:ascii="Courier 10cpi" w:hAnsi="Courier 10cpi"/>
          <w:color w:val="FF0000"/>
          <w:lang w:val="en-CA"/>
        </w:rPr>
        <w:t xml:space="preserve">Lors de l'audition d'une requête, le juge qui préside peut faire instruire la requête ou une question en litige, et donner des directives justes : alinéa 38.10(1)b) des Règles de procédure civile. Selon le paragraphe 38.10(2), si l'instruction de la requête en totalité est ordonnée, l'instance est assimilée par la suite à une action, sous réserve des directives contenues dans l'ordonnance relative à l'instruction. En vertu du paragraphe 38.10(3), si l'instruction d'une question en litige dans l'action est ordonnée, l'ordonnance relative à l'instruction peut prévoir que l'instance est assimilée à une action pour ce qui est de la question en litige, sous réserve des directives contenues dans l'ordonnance. Toujours aux termes du paragraphe (3), cette ordonnance prévoit également que la requête est ajournée afin d'être décidée par le juge qui préside l'instruction.  Parallèlement, sous le régime de l'aliéna 37.13(2)b), le juge qui entend une motion peut ordonner l'instruction d'une question en litige, avec des directives justes, et déférer la motion au juge qui préside l'instruction. Dans l'arrêt </w:t>
      </w:r>
      <w:r>
        <w:rPr>
          <w:rFonts w:ascii="Courier 10cpi" w:hAnsi="Courier 10cpi"/>
          <w:i/>
          <w:color w:val="FF0000"/>
          <w:lang w:val="en-CA"/>
        </w:rPr>
        <w:t>Re Island of Bob-Lo Co. and Township of Malden and two other appeals</w:t>
      </w:r>
      <w:r>
        <w:rPr>
          <w:rFonts w:ascii="Courier 10cpi" w:hAnsi="Courier 10cpi"/>
          <w:color w:val="FF0000"/>
          <w:lang w:val="en-CA"/>
        </w:rPr>
        <w:t xml:space="preserve">, [1969] 2 O.R. 535 (C.A.), où la requête introductive d'instance était présentée sous le régime d'une loi et où les éléments de preuve soumis étaient insuffisants, le tribunal a ordonné l'instruction d'une question en litige. Dans l'arrêt </w:t>
      </w:r>
      <w:r>
        <w:rPr>
          <w:rFonts w:ascii="Courier 10cpi" w:hAnsi="Courier 10cpi"/>
          <w:i/>
          <w:color w:val="FF0000"/>
          <w:lang w:val="en-CA"/>
        </w:rPr>
        <w:t>Citibank Leasing Ltd. v. Diebold Inc.</w:t>
      </w:r>
      <w:r>
        <w:rPr>
          <w:rFonts w:ascii="Courier 10cpi" w:hAnsi="Courier 10cpi"/>
          <w:color w:val="FF0000"/>
          <w:lang w:val="en-CA"/>
        </w:rPr>
        <w:t xml:space="preserve">, (1986) 58 O.R. (2d) 513 (H.C.), le tribunal était saisi d'une requête en jugement portant sur les droits découlant d'une garantie, et il a accepté de prononcer une disposition déclaratoire concernant les obligations et les responsabilités des parties, sous réserve des résultats de l'instruction de certaines questions en litige. Dans l'arrêt </w:t>
      </w:r>
      <w:r>
        <w:rPr>
          <w:rFonts w:ascii="Courier 10cpi" w:hAnsi="Courier 10cpi"/>
          <w:i/>
          <w:color w:val="FF0000"/>
          <w:lang w:val="en-CA"/>
        </w:rPr>
        <w:t>Association française des conseils scolaires de l'Ontario v. Ontario</w:t>
      </w:r>
      <w:r>
        <w:rPr>
          <w:rFonts w:ascii="Courier 10cpi" w:hAnsi="Courier 10cpi"/>
          <w:color w:val="FF0000"/>
          <w:lang w:val="en-CA"/>
        </w:rPr>
        <w:t xml:space="preserve">, (1988) 66 O.R. (2d) 599, 55 D.L.R. (4th) 394 (C.A.), le tribunal était saisi d'un litige complexe mettant en jeu des questions constitutionnelles, et il a ordonné l'instruction de certaines de ces questions afin de permettre la présentation de nouveaux éléments de preuve. Dans l'affaire </w:t>
      </w:r>
      <w:r>
        <w:rPr>
          <w:rFonts w:ascii="Courier 10cpi" w:hAnsi="Courier 10cpi"/>
          <w:i/>
          <w:color w:val="FF0000"/>
          <w:lang w:val="en-CA"/>
        </w:rPr>
        <w:t>Renegade Capital Corp. v. Hees International Bancorp Inc.</w:t>
      </w:r>
      <w:r>
        <w:rPr>
          <w:rFonts w:ascii="Courier 10cpi" w:hAnsi="Courier 10cpi"/>
          <w:color w:val="FF0000"/>
          <w:lang w:val="en-CA"/>
        </w:rPr>
        <w:t>, (1990) 73 O.R. (2d) 311 (H.C.), un juge avait été désigné en application de la règle 37.15 afin d'entendre une motion présentée dans le cadre d'une requête complexe. Le tribunal a conclu qu'un juge ainsi désigné peut ordonner le sursis de la requête et ordonner que le litige soit poursuivi sous la forme d'une action s'il estime qu'elle est complexe, qu'elle soulève des questions de faits et qu'elle nécessite l'audition de témoins pour des raisons de crédibilité</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Suivant le paragraphe 54.02(1), sous réserve du droit des parties de faire instruire une question en litige par un jury, un juge peut, à toute étape de l'instance, ordonner le renvoi de l'instance ou d'une question en litige si :</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w:t>
      </w:r>
      <w:r>
        <w:rPr>
          <w:rFonts w:ascii="Courier 10cpi" w:hAnsi="Courier 10cpi"/>
          <w:lang w:val="en-CA"/>
        </w:rPr>
        <w:tab/>
        <w:t>toutes les parties intéressées y consentent;</w:t>
      </w:r>
    </w:p>
    <w:p w:rsidR="00637F70" w:rsidRDefault="00637F70">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le juge est d'avis qu'un examen prolongé de documents ou une enquête est nécessaire et ne peut être effectué commodément à l'instruction;</w:t>
      </w:r>
    </w:p>
    <w:p w:rsidR="00637F70" w:rsidRDefault="00637F70">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une question en litige importante exige une reddition de comptes.</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Aux termes du paragraphe 54.02(2), sous réserve du droit des parties de faire instruire une question en litige par un jury, un juge peut, à toute étape d'une instance, ordonner un renvoi pour décider une question en litige se rapportant :</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w:t>
      </w:r>
      <w:r>
        <w:rPr>
          <w:rFonts w:ascii="Courier 10cpi" w:hAnsi="Courier 10cpi"/>
          <w:lang w:val="en-CA"/>
        </w:rPr>
        <w:tab/>
        <w:t>à une reddition de comptes;</w:t>
      </w:r>
    </w:p>
    <w:p w:rsidR="00637F70" w:rsidRDefault="00637F70">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au déroulement d'une vente;</w:t>
      </w:r>
    </w:p>
    <w:p w:rsidR="00637F70" w:rsidRDefault="00637F70">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à la nomination d'un curateur, d'un tuteur ou d'un séquestre;</w:t>
      </w:r>
    </w:p>
    <w:p w:rsidR="00637F70" w:rsidRDefault="00637F70">
      <w:pPr>
        <w:widowControl w:val="0"/>
        <w:ind w:left="720" w:hanging="720"/>
        <w:rPr>
          <w:rFonts w:ascii="Courier 10cpi" w:hAnsi="Courier 10cpi"/>
          <w:lang w:val="en-CA"/>
        </w:rPr>
      </w:pPr>
      <w:r>
        <w:rPr>
          <w:rFonts w:ascii="Courier 10cpi" w:hAnsi="Courier 10cpi"/>
          <w:lang w:val="en-CA"/>
        </w:rPr>
        <w:t>d)</w:t>
      </w:r>
      <w:r>
        <w:rPr>
          <w:rFonts w:ascii="Courier 10cpi" w:hAnsi="Courier 10cpi"/>
          <w:lang w:val="en-CA"/>
        </w:rPr>
        <w:tab/>
        <w:t>à la gestion par le tuteur, le curateur ou le séquestre;</w:t>
      </w:r>
    </w:p>
    <w:p w:rsidR="00637F70" w:rsidRDefault="00637F70">
      <w:pPr>
        <w:widowControl w:val="0"/>
        <w:ind w:left="720" w:hanging="720"/>
        <w:rPr>
          <w:rFonts w:ascii="Courier 10cpi" w:hAnsi="Courier 10cpi"/>
          <w:lang w:val="en-CA"/>
        </w:rPr>
      </w:pPr>
      <w:r>
        <w:rPr>
          <w:rFonts w:ascii="Courier 10cpi" w:hAnsi="Courier 10cpi"/>
          <w:lang w:val="en-CA"/>
        </w:rPr>
        <w:t>e)</w:t>
      </w:r>
      <w:r>
        <w:rPr>
          <w:rFonts w:ascii="Courier 10cpi" w:hAnsi="Courier 10cpi"/>
          <w:lang w:val="en-CA"/>
        </w:rPr>
        <w:tab/>
        <w:t>à l'exécution d'une ordonnance.</w:t>
      </w:r>
    </w:p>
    <w:p w:rsidR="00637F70" w:rsidRDefault="00637F70">
      <w:pPr>
        <w:widowControl w:val="0"/>
        <w:rPr>
          <w:rFonts w:ascii="Courier 10cpi" w:hAnsi="Courier 10cpi"/>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Selon le paragraphe 54.03(1), le renvoi peut être adressé au juge qui l'a ordonné, au greffier ou à un autre officier de justice, à un commissaire au droit de la famille (s'il s'agit d'un renvoi ordonné en vertu de la règle 69.21 ou 70.07) ou à une personne dont conviennent les parties.</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 xml:space="preserve">«Le renvoi pouvant être ordonné à toute étape de l'instance», il peut notamment être ordonné [TRADUCTION] «au cours de la période qui précède l'instruction» : </w:t>
      </w:r>
      <w:r>
        <w:rPr>
          <w:rFonts w:ascii="Courier 10cpi" w:hAnsi="Courier 10cpi"/>
          <w:i/>
          <w:color w:val="FF0000"/>
          <w:lang w:val="en-CA"/>
        </w:rPr>
        <w:t>Canada Permanent Trust Co. v. Worstman and two other actions</w:t>
      </w:r>
      <w:r>
        <w:rPr>
          <w:rFonts w:ascii="Courier 10cpi" w:hAnsi="Courier 10cpi"/>
          <w:color w:val="FF0000"/>
          <w:lang w:val="en-CA"/>
        </w:rPr>
        <w:t xml:space="preserve">, (1978) 21 O.R. (2d) 846 (H.C.). Le tribunal ne devrait pas ordonner le renvoi si celui-ci implique une nouvelle audition de la preuve que le tribunal a entendue lors du procès : </w:t>
      </w:r>
      <w:r>
        <w:rPr>
          <w:rFonts w:ascii="Courier 10cpi" w:hAnsi="Courier 10cpi"/>
          <w:i/>
          <w:color w:val="FF0000"/>
          <w:lang w:val="en-CA"/>
        </w:rPr>
        <w:t>Tukara v. Krizmanic</w:t>
      </w:r>
      <w:r>
        <w:rPr>
          <w:rFonts w:ascii="Courier 10cpi" w:hAnsi="Courier 10cpi"/>
          <w:color w:val="FF0000"/>
          <w:lang w:val="en-CA"/>
        </w:rPr>
        <w:t xml:space="preserve">, (1976) 2 C.P.C. 301 (C. div. Ont.). Le tribunal ne devrait diviser une instruction ou ordonner le renvoi sans le consentement des parties que dans certains cas exceptionnels : </w:t>
      </w:r>
      <w:r>
        <w:rPr>
          <w:rFonts w:ascii="Courier 10cpi" w:hAnsi="Courier 10cpi"/>
          <w:i/>
          <w:color w:val="FF0000"/>
          <w:lang w:val="en-CA"/>
        </w:rPr>
        <w:t>Elcano Acceptance Ltd. v. Richmond, Richmond, Stambler &amp; Mills</w:t>
      </w:r>
      <w:r>
        <w:rPr>
          <w:rFonts w:ascii="Courier 10cpi" w:hAnsi="Courier 10cpi"/>
          <w:color w:val="FF0000"/>
          <w:lang w:val="en-CA"/>
        </w:rPr>
        <w:t>, (1986) 55 O.R. (2d) 56, 9 C.P.C. (2d) 260 (C.A.).</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Suivant le paragraphe 54.04(1), l'ordonnance de renvoi précise la nature et l'objet du renvoi ainsi que le nom de la personne qui est chargée de celui-ci. Elle peut :</w:t>
      </w:r>
    </w:p>
    <w:p w:rsidR="00637F70" w:rsidRDefault="00637F70">
      <w:pPr>
        <w:widowControl w:val="0"/>
        <w:rPr>
          <w:rFonts w:ascii="Courier 10cpi" w:hAnsi="Courier 10cpi"/>
          <w:color w:val="FF0000"/>
          <w:lang w:val="en-CA"/>
        </w:rPr>
      </w:pPr>
    </w:p>
    <w:p w:rsidR="00637F70" w:rsidRDefault="00637F70">
      <w:pPr>
        <w:widowControl w:val="0"/>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ordonner, en termes généraux, les enquêtes nécessaires, les redditions de comptes et la liquidation des dépens;</w:t>
      </w:r>
    </w:p>
    <w:p w:rsidR="00637F70" w:rsidRDefault="00637F70">
      <w:pPr>
        <w:widowControl w:val="0"/>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comprendre des directives relatives au déroulement du renvoi;</w:t>
      </w:r>
    </w:p>
    <w:p w:rsidR="00637F70" w:rsidRDefault="00637F70">
      <w:pPr>
        <w:widowControl w:val="0"/>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indiquer quelle partie est responsable du renvoi.</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Aux termes du paragraphe 54.04(2), l'ordonnance de renvoi du protonotaire ou du greffier ne peut exiger la remise d'un rapport, et le rapport ou le rapport provisoire est confirmé selon la règle 54.09 (confirmation par écoulement du temps).</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Sous le régime de la règle 54.06, l'arbitre rédige un rapport contenant ses constatations et conclusions. Ce rapport n'a aucun effet tant qu'il n'est pas confirmé (paragraphe 54.07(1)). Le rapport est alors inscrit sans délai de la manière prévue par la règle 59.05 (paragraphe 54.07(2)).</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color w:val="FF0000"/>
          <w:lang w:val="en-CA"/>
        </w:rPr>
      </w:pPr>
      <w:r>
        <w:rPr>
          <w:rFonts w:ascii="Courier 10cpi" w:hAnsi="Courier 10cpi"/>
          <w:color w:val="FF0000"/>
          <w:lang w:val="en-CA"/>
        </w:rPr>
        <w:t>Suivant le paragraphe 54.08(1), si l'ordonnance de renvoi exige que l'arbitre fasse rapport au juge, le rapport ou le rapport provisoire ne peut être confirmé que par voie de motion présentée au juge qui a ordonné le renvoi, sous réserve du paragraphe 69.21(3) (renvoi au commissaire au droit de la famille), sur préavis à chaque partie qui a comparu au renvoi. Le juge peut demander à l'arbitre de motiver ses conclusions et il peut confirmer le rapport, en tout ou en partie, ou rendre une autre ordonnance juste.</w:t>
      </w:r>
    </w:p>
    <w:p w:rsidR="00637F70" w:rsidRDefault="00637F70">
      <w:pPr>
        <w:widowControl w:val="0"/>
        <w:rPr>
          <w:rFonts w:ascii="Courier 10cpi" w:hAnsi="Courier 10cpi"/>
          <w:color w:val="FF0000"/>
          <w:lang w:val="en-CA"/>
        </w:rPr>
      </w:pPr>
    </w:p>
    <w:p w:rsidR="00637F70" w:rsidRDefault="00637F70">
      <w:pPr>
        <w:widowControl w:val="0"/>
        <w:rPr>
          <w:rFonts w:ascii="Courier 10cpi" w:hAnsi="Courier 10cpi"/>
          <w:lang w:val="en-CA"/>
        </w:rPr>
      </w:pPr>
      <w:r>
        <w:rPr>
          <w:rFonts w:ascii="Courier 10cpi" w:hAnsi="Courier 10cpi"/>
          <w:color w:val="FF0000"/>
          <w:lang w:val="en-CA"/>
        </w:rPr>
        <w:t xml:space="preserve">Suivant l'arrêt </w:t>
      </w:r>
      <w:r>
        <w:rPr>
          <w:rFonts w:ascii="Courier 10cpi" w:hAnsi="Courier 10cpi"/>
          <w:i/>
          <w:color w:val="FF0000"/>
          <w:lang w:val="en-CA"/>
        </w:rPr>
        <w:t>Martin v. Cornhill Insurance Co. Ltd.</w:t>
      </w:r>
      <w:r>
        <w:rPr>
          <w:rFonts w:ascii="Courier 10cpi" w:hAnsi="Courier 10cpi"/>
          <w:color w:val="FF0000"/>
          <w:lang w:val="en-CA"/>
        </w:rPr>
        <w:t xml:space="preserve">, [1935] O.R. 239, [1935] 2 D.L.R. 682, 2 I.L.R. 169 (C.A.), l'ordonnance prescrivant le renvoi peut prendre l'une ou l'autre des deux formes suivantes : une ordonnance peut prévoir la tenue d'une enquête et la remise d'un rapport, en réservant la question des dépens et la possibilité d'énoncer des directives additionnelles, ou en prévoyant de quelque autre manière le déroulement futur de l'instance; un jugement peut être rendu dans l'action et ordonner que la somme d'argent à laquelle aura conclu l'arbitre soit payée dès que son rapport devient définitif. La décision rendue dans l'affaire </w:t>
      </w:r>
      <w:r>
        <w:rPr>
          <w:rFonts w:ascii="Courier 10cpi" w:hAnsi="Courier 10cpi"/>
          <w:i/>
          <w:color w:val="FF0000"/>
          <w:lang w:val="en-CA"/>
        </w:rPr>
        <w:t>Goyer v. Shurtleff</w:t>
      </w:r>
      <w:r>
        <w:rPr>
          <w:rFonts w:ascii="Courier 10cpi" w:hAnsi="Courier 10cpi"/>
          <w:color w:val="FF0000"/>
          <w:lang w:val="en-CA"/>
        </w:rPr>
        <w:t>, [1947] O.W.N. 656 (H.C.) analyse la question de la constitutionnalité du renvoi à un protonotaire sans obligation de rapport, et elle examine la forme que doit prendre l'ordonnance</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p>
    <w:p w:rsidR="00637F70" w:rsidRDefault="00637F7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[82:E:1]</w:t>
      </w:r>
    </w:p>
    <w:p w:rsidR="00637F70" w:rsidRDefault="00637F70">
      <w:pPr>
        <w:widowControl w:val="0"/>
        <w:rPr>
          <w:rFonts w:ascii="Courier 10cpi" w:hAnsi="Courier 10cpi"/>
          <w:lang w:val="en-CA"/>
        </w:rPr>
      </w:pPr>
    </w:p>
    <w:p w:rsidR="00637F70" w:rsidRDefault="00637F70">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Ordonnance prescrivant l'instruction d'une question en</w:t>
      </w:r>
    </w:p>
    <w:p w:rsidR="00637F70" w:rsidRDefault="00637F7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litige sous le régime de la Loi sur les assurances</w:t>
      </w:r>
    </w:p>
    <w:p w:rsidR="00637F70" w:rsidRDefault="00637F70">
      <w:pPr>
        <w:widowControl w:val="0"/>
        <w:rPr>
          <w:rFonts w:ascii="Courier 10cpi" w:hAnsi="Courier 10cpi"/>
          <w:lang w:val="en-CA"/>
        </w:rPr>
      </w:pPr>
    </w:p>
    <w:p w:rsidR="00637F70" w:rsidRDefault="00637F7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637F70" w:rsidRDefault="00637F70">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p>
    <w:p w:rsidR="00637F70" w:rsidRDefault="00637F70">
      <w:pPr>
        <w:widowControl w:val="0"/>
        <w:tabs>
          <w:tab w:val="center" w:pos="4680"/>
        </w:tabs>
        <w:rPr>
          <w:rFonts w:ascii="Courier 10cpi" w:hAnsi="Courier 10cpi"/>
          <w:lang w:val="en-CA"/>
        </w:rPr>
      </w:pPr>
      <w:r>
        <w:rPr>
          <w:rFonts w:ascii="Courier 10cpi" w:hAnsi="Courier 10cpi"/>
          <w:lang w:val="en-CA"/>
        </w:rPr>
        <w:tab/>
        <w:t>ORDONNANCE</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des procureurs du requérant, de la société d'assurance [</w:t>
      </w:r>
      <w:r>
        <w:rPr>
          <w:rFonts w:ascii="Courier 10cpi" w:hAnsi="Courier 10cpi"/>
          <w:i/>
          <w:lang w:val="en-CA"/>
        </w:rPr>
        <w:t>dénomination sociale</w:t>
      </w:r>
      <w:r>
        <w:rPr>
          <w:rFonts w:ascii="Courier 10cpi" w:hAnsi="Courier 10cpi"/>
          <w:lang w:val="en-CA"/>
        </w:rPr>
        <w:t>] et de [</w:t>
      </w:r>
      <w:r>
        <w:rPr>
          <w:rFonts w:ascii="Courier 10cpi" w:hAnsi="Courier 10cpi"/>
          <w:i/>
          <w:lang w:val="en-CA"/>
        </w:rPr>
        <w:t>nom</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b/>
        <w:t>APRÈS AVOIR LU L'AVIS DE REQUÊTE ET LA PREUVE DOCUMENTAIRE DÉPOSÉE PAR LES PARTIES, et après avoir entendu les plaidoiries des procureurs des parties,</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les parties fassent instruire la présente requête, que, aux fins de cette instruction, [</w:t>
      </w:r>
      <w:r>
        <w:rPr>
          <w:rFonts w:ascii="Courier 10cpi" w:hAnsi="Courier 10cpi"/>
          <w:i/>
          <w:lang w:val="en-CA"/>
        </w:rPr>
        <w:t>nom</w:t>
      </w:r>
      <w:r>
        <w:rPr>
          <w:rFonts w:ascii="Courier 10cpi" w:hAnsi="Courier 10cpi"/>
          <w:lang w:val="en-CA"/>
        </w:rPr>
        <w:t>] soit le demandeur et la société d'assurance [</w:t>
      </w:r>
      <w:r>
        <w:rPr>
          <w:rFonts w:ascii="Courier 10cpi" w:hAnsi="Courier 10cpi"/>
          <w:i/>
          <w:lang w:val="en-CA"/>
        </w:rPr>
        <w:t>dénomination sociale</w:t>
      </w:r>
      <w:r>
        <w:rPr>
          <w:rFonts w:ascii="Courier 10cpi" w:hAnsi="Courier 10cpi"/>
          <w:lang w:val="en-CA"/>
        </w:rPr>
        <w:t xml:space="preserve">] soit la défenderesse, et que la question à faire instruire dans cette instance soit la suivante : sous le régime de la </w:t>
      </w:r>
      <w:r>
        <w:rPr>
          <w:rFonts w:ascii="Courier 10cpi" w:hAnsi="Courier 10cpi"/>
          <w:i/>
          <w:lang w:val="en-CA"/>
        </w:rPr>
        <w:t>Loi sur les assurances</w:t>
      </w:r>
      <w:r>
        <w:rPr>
          <w:rFonts w:ascii="Courier 10cpi" w:hAnsi="Courier 10cpi"/>
          <w:lang w:val="en-CA"/>
        </w:rPr>
        <w:t>, L.R.O. 1990, chap. I.8, [</w:t>
      </w:r>
      <w:r>
        <w:rPr>
          <w:rFonts w:ascii="Courier 10cpi" w:hAnsi="Courier 10cpi"/>
          <w:i/>
          <w:lang w:val="en-CA"/>
        </w:rPr>
        <w:t>nom</w:t>
      </w:r>
      <w:r>
        <w:rPr>
          <w:rFonts w:ascii="Courier 10cpi" w:hAnsi="Courier 10cpi"/>
          <w:lang w:val="en-CA"/>
        </w:rPr>
        <w:t>] a-t-il droit à une déclaration selon laquelle [</w:t>
      </w:r>
      <w:r>
        <w:rPr>
          <w:rFonts w:ascii="Courier 10cpi" w:hAnsi="Courier 10cpi"/>
          <w:i/>
          <w:lang w:val="en-CA"/>
        </w:rPr>
        <w:t>nom</w:t>
      </w:r>
      <w:r>
        <w:rPr>
          <w:rFonts w:ascii="Courier 10cpi" w:hAnsi="Courier 10cpi"/>
          <w:lang w:val="en-CA"/>
        </w:rPr>
        <w:t>] est présumé décédé du fait que l'on est sans nouvelles de lui depuis sept ans?</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les parties à cette action puissent avoir recours à la production de documents et à l'interrogatoire préalable l'une envers l'autre conformément aux Règles de procédure civile, si de telles mesures leur sont utiles.</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l'action soit instruite aux sessions sans jury à [</w:t>
      </w:r>
      <w:r>
        <w:rPr>
          <w:rFonts w:ascii="Courier 10cpi" w:hAnsi="Courier 10cpi"/>
          <w:i/>
          <w:lang w:val="en-CA"/>
        </w:rPr>
        <w:t>lieu</w:t>
      </w:r>
      <w:r>
        <w:rPr>
          <w:rFonts w:ascii="Courier 10cpi" w:hAnsi="Courier 10cpi"/>
          <w:lang w:val="en-CA"/>
        </w:rPr>
        <w:t>].</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que la décision sur les dépens de la présente requête soit réservée au juge qui présidera l'instruction.</w:t>
      </w:r>
    </w:p>
    <w:p w:rsidR="00637F70" w:rsidRDefault="00637F70">
      <w:pPr>
        <w:widowControl w:val="0"/>
        <w:rPr>
          <w:rFonts w:ascii="Courier 10cpi" w:hAnsi="Courier 10cpi"/>
          <w:lang w:val="en-CA"/>
        </w:rPr>
      </w:pPr>
    </w:p>
    <w:p w:rsidR="00637F70" w:rsidRDefault="00637F7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637F70" w:rsidRDefault="00637F7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637F70" w:rsidSect="00637F7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F70"/>
    <w:rsid w:val="00637F7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