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45" w:rsidRDefault="00C47045">
      <w:pPr>
        <w:widowControl w:val="0"/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C47045" w:rsidRDefault="00C47045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[83:A:4]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Avis de motion : omission de statuer sur un point donné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AVIS DE MOTION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Le demandeur présentera une motion à M. le juge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Mme la juge]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ou la mention appropriée</w:t>
      </w:r>
      <w:r>
        <w:rPr>
          <w:rFonts w:ascii="Courier 10cpi" w:hAnsi="Courier 10cpi"/>
          <w:lang w:val="en-CA"/>
        </w:rPr>
        <w:t>]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à [</w:t>
      </w:r>
      <w:r>
        <w:rPr>
          <w:rFonts w:ascii="Courier 10cpi" w:hAnsi="Courier 10cpi"/>
          <w:i/>
          <w:lang w:val="en-CA"/>
        </w:rPr>
        <w:t>heure</w:t>
      </w:r>
      <w:r>
        <w:rPr>
          <w:rFonts w:ascii="Courier 10cpi" w:hAnsi="Courier 10cpi"/>
          <w:lang w:val="en-CA"/>
        </w:rPr>
        <w:t>], ou dès que possible par la suite,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ab/>
        <w:t>TYPE D'AUDIENCE PROPOSÉ : Je propose que la motion soit entendue [</w:t>
      </w:r>
      <w:r>
        <w:rPr>
          <w:rFonts w:ascii="Courier 10cpi" w:hAnsi="Courier 10cpi"/>
          <w:i/>
          <w:color w:val="FF0000"/>
          <w:lang w:val="en-CA"/>
        </w:rPr>
        <w:t>cocher la case appropriée</w:t>
      </w:r>
      <w:r>
        <w:rPr>
          <w:rFonts w:ascii="Courier 10cpi" w:hAnsi="Courier 10cpi"/>
          <w:color w:val="FF0000"/>
          <w:lang w:val="en-CA"/>
        </w:rPr>
        <w:t>]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color w:val="FF0000"/>
          <w:lang w:val="en-CA"/>
        </w:rPr>
      </w:pPr>
    </w:p>
    <w:p w:rsidR="00C47045" w:rsidRDefault="00C47045">
      <w:pPr>
        <w:widowControl w:val="0"/>
        <w:spacing w:line="240" w:lineRule="exact"/>
        <w:ind w:left="1440" w:hanging="720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>•</w:t>
      </w:r>
      <w:r>
        <w:rPr>
          <w:rFonts w:ascii="Courier 10cpi" w:hAnsi="Courier 10cpi"/>
          <w:color w:val="FF0000"/>
          <w:lang w:val="en-CA"/>
        </w:rPr>
        <w:tab/>
        <w:t>sur pièces en vertu du paragraphe 37.12.1(1), parce qu'elle (</w:t>
      </w:r>
      <w:r>
        <w:rPr>
          <w:rFonts w:ascii="Courier 10cpi" w:hAnsi="Courier 10cpi"/>
          <w:i/>
          <w:color w:val="FF0000"/>
          <w:lang w:val="en-CA"/>
        </w:rPr>
        <w:t>rayer la mention inutile</w:t>
      </w:r>
      <w:r>
        <w:rPr>
          <w:rFonts w:ascii="Courier 10cpi" w:hAnsi="Courier 10cpi"/>
          <w:color w:val="FF0000"/>
          <w:lang w:val="en-CA"/>
        </w:rPr>
        <w:t xml:space="preserve"> est présentée sur consentement, n'est pas contestée, présentée sans préavis);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color w:val="FF0000"/>
          <w:lang w:val="en-CA"/>
        </w:rPr>
      </w:pPr>
    </w:p>
    <w:p w:rsidR="00C47045" w:rsidRDefault="00C47045">
      <w:pPr>
        <w:widowControl w:val="0"/>
        <w:spacing w:line="240" w:lineRule="exact"/>
        <w:ind w:left="1440" w:hanging="720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>•</w:t>
      </w:r>
      <w:r>
        <w:rPr>
          <w:rFonts w:ascii="Courier 10cpi" w:hAnsi="Courier 10cpi"/>
          <w:color w:val="FF0000"/>
          <w:lang w:val="en-CA"/>
        </w:rPr>
        <w:tab/>
        <w:t>sur pièces sous forme d'une motion contestée en vertu du paragraphe 37.12.1(4);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color w:val="FF0000"/>
          <w:lang w:val="en-CA"/>
        </w:rPr>
      </w:pPr>
    </w:p>
    <w:p w:rsidR="00C47045" w:rsidRDefault="00C47045">
      <w:pPr>
        <w:widowControl w:val="0"/>
        <w:spacing w:line="240" w:lineRule="exact"/>
        <w:ind w:left="1440" w:hanging="720"/>
        <w:rPr>
          <w:rFonts w:ascii="Courier 10cpi" w:hAnsi="Courier 10cpi"/>
          <w:color w:val="FF0000"/>
          <w:lang w:val="en-CA"/>
        </w:rPr>
      </w:pPr>
      <w:r>
        <w:rPr>
          <w:rFonts w:ascii="Courier 10cpi" w:hAnsi="Courier 10cpi"/>
          <w:color w:val="FF0000"/>
          <w:lang w:val="en-CA"/>
        </w:rPr>
        <w:t>•</w:t>
      </w:r>
      <w:r>
        <w:rPr>
          <w:rFonts w:ascii="Courier 10cpi" w:hAnsi="Courier 10cpi"/>
          <w:color w:val="FF0000"/>
          <w:lang w:val="en-CA"/>
        </w:rPr>
        <w:tab/>
        <w:t>oralement.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color w:val="FF0000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L'OBJET DE LA MOTION EST LE SUIVANT : une ordonnance modifiant le jugement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l'ordonnance </w:t>
      </w:r>
      <w:r>
        <w:rPr>
          <w:rFonts w:ascii="Courier 10cpi" w:hAnsi="Courier 10cpi"/>
          <w:i/>
          <w:lang w:val="en-CA"/>
        </w:rPr>
        <w:t>selon le cas</w:t>
      </w:r>
      <w:r>
        <w:rPr>
          <w:rFonts w:ascii="Courier 10cpi" w:hAnsi="Courier 10cpi"/>
          <w:lang w:val="en-CA"/>
        </w:rPr>
        <w:t>]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qui a été rendu par M. le juge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Mme la juge]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ou la mention appropriée</w:t>
      </w:r>
      <w:r>
        <w:rPr>
          <w:rFonts w:ascii="Courier 10cpi" w:hAnsi="Courier 10cpi"/>
          <w:lang w:val="en-CA"/>
        </w:rPr>
        <w:t>] dans la présente cause.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LES MOYENS À L'APPUI DE LA MOTION SONT LES SUIVANTS :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Dans les motifs du jugement qu'il a rendu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le tribunal omet de statuer sur les dépens de la présente action [</w:t>
      </w:r>
      <w:r>
        <w:rPr>
          <w:rFonts w:ascii="Courier 10cpi" w:hAnsi="Courier 10cpi"/>
          <w:i/>
          <w:lang w:val="en-CA"/>
        </w:rPr>
        <w:t>ou la mention appropriée</w:t>
      </w:r>
      <w:r>
        <w:rPr>
          <w:rFonts w:ascii="Courier 10cpi" w:hAnsi="Courier 10cpi"/>
          <w:lang w:val="en-CA"/>
        </w:rPr>
        <w:t>] et de réserver aux procureurs le droit de présenter plus tard leurs observations sur cette question.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demandeur invoque l'alinéa 59.06(1)b) des Règles de procédure civile.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PREUVE DOCUMENTAIRE SUIVANTE sera utilisée lors de l'audition de la motion :</w:t>
      </w:r>
    </w:p>
    <w:p w:rsidR="00C47045" w:rsidRDefault="00C47045">
      <w:pPr>
        <w:widowControl w:val="0"/>
        <w:spacing w:line="240" w:lineRule="exact"/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1.</w:t>
      </w:r>
      <w:r>
        <w:rPr>
          <w:rFonts w:ascii="Courier 10cpi" w:hAnsi="Courier 10cpi"/>
          <w:lang w:val="en-CA"/>
        </w:rPr>
        <w:tab/>
        <w:t>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les pièces jointes à cet affidavit.</w:t>
      </w:r>
    </w:p>
    <w:p w:rsidR="00C47045" w:rsidRDefault="00C47045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ind w:left="4320" w:hanging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des procureurs</w:t>
      </w:r>
      <w:r>
        <w:rPr>
          <w:rFonts w:ascii="Courier 10cpi" w:hAnsi="Courier 10cpi"/>
          <w:lang w:val="en-CA"/>
        </w:rPr>
        <w:t>]</w:t>
      </w:r>
    </w:p>
    <w:p w:rsidR="00C47045" w:rsidRDefault="00C47045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C47045" w:rsidRDefault="00C47045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procureurs du demandeur</w:t>
      </w:r>
    </w:p>
    <w:sectPr w:rsidR="00C47045" w:rsidSect="00C470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045"/>
    <w:rsid w:val="00C4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1">
    <w:name w:val="1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