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4C" w:rsidRDefault="0064514C">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MISE SOUS SÉQUESTRE JUDICIAIRE</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Le paragraphe 60.04(2) des Règles de procédure civile prévoit que, si les biens meubles ne sont pas délaissés conformément au bref de délaissement, l'ordonnance peut être exécutée au moyen d'un bref de mise sous séquestre judiciaire (</w:t>
      </w:r>
      <w:r>
        <w:rPr>
          <w:rFonts w:ascii="Courier 10cpi" w:hAnsi="Courier 10cpi"/>
          <w:color w:val="FF0000"/>
          <w:lang w:val="en-CA"/>
        </w:rPr>
        <w:t>formule 60B)</w:t>
      </w:r>
      <w:r>
        <w:rPr>
          <w:rFonts w:ascii="Courier 10cpi" w:hAnsi="Courier 10cpi"/>
          <w:lang w:val="en-CA"/>
        </w:rPr>
        <w:t xml:space="preserve"> en application de la règle 60.09. Sous le régime du </w:t>
      </w:r>
      <w:r>
        <w:rPr>
          <w:rFonts w:ascii="Courier 10cpi" w:hAnsi="Courier 10cpi"/>
          <w:color w:val="FF0000"/>
          <w:lang w:val="en-CA"/>
        </w:rPr>
        <w:t>paragraphe 60.09(1)</w:t>
      </w:r>
      <w:r>
        <w:rPr>
          <w:rFonts w:ascii="Courier 10cpi" w:hAnsi="Courier 10cpi"/>
          <w:lang w:val="en-CA"/>
        </w:rPr>
        <w:t xml:space="preserve">, un bref de mise sous séquestre judiciaire ne peut être délivré qu'avec l'autorisation du tribunal, obtenue par voie de motion et, </w:t>
      </w:r>
      <w:r>
        <w:rPr>
          <w:rFonts w:ascii="Courier 10cpi" w:hAnsi="Courier 10cpi"/>
          <w:color w:val="FF0000"/>
          <w:lang w:val="en-CA"/>
        </w:rPr>
        <w:t>en vertu du paragraphe 60.09(2)</w:t>
      </w:r>
      <w:r>
        <w:rPr>
          <w:rFonts w:ascii="Courier 10cpi" w:hAnsi="Courier 10cpi"/>
          <w:lang w:val="en-CA"/>
        </w:rPr>
        <w:t xml:space="preserve">, le tribunal n'accorde une telle autorisation que s'il est convaincu que les autres mesures d'exécution forcée sont ou seront probablement inefficaces. S'il accorde l'autorisation de délivrer un bref de mise sous séquestre judiciaire, le tribunal peut ordonner son exécution à l'égard de la totalité ou d'une partie des biens meubles et immeubles de la personne contre laquelle il est délivré. </w:t>
      </w:r>
      <w:r>
        <w:rPr>
          <w:rFonts w:ascii="Courier 10cpi" w:hAnsi="Courier 10cpi"/>
          <w:color w:val="FF0000"/>
          <w:lang w:val="en-CA"/>
        </w:rPr>
        <w:t xml:space="preserve">En règle générale, le tribunal n'accorde un bref de mise sous séquestre judiciaire qu'en présence d'une désobéissance délibérée à une ordonnance : </w:t>
      </w:r>
      <w:r>
        <w:rPr>
          <w:rFonts w:ascii="Courier 10cpi" w:hAnsi="Courier 10cpi"/>
          <w:i/>
          <w:color w:val="FF0000"/>
          <w:lang w:val="en-CA"/>
        </w:rPr>
        <w:t>Browne v. Britnell &amp; Co.</w:t>
      </w:r>
      <w:r>
        <w:rPr>
          <w:rFonts w:ascii="Courier 10cpi" w:hAnsi="Courier 10cpi"/>
          <w:color w:val="FF0000"/>
          <w:lang w:val="en-CA"/>
        </w:rPr>
        <w:t>, (1924) 27 O.W.N. 232 (H.C.)</w:t>
      </w:r>
      <w:r>
        <w:rPr>
          <w:rFonts w:ascii="Courier 10cpi" w:hAnsi="Courier 10cpi"/>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[85:D:1]</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 demandeur présentera une motion à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color w:val="FF0000"/>
          <w:lang w:val="en-CA"/>
        </w:rPr>
        <w:t>•</w:t>
      </w:r>
      <w:r>
        <w:rPr>
          <w:rFonts w:ascii="Courier 10cpi" w:hAnsi="Courier 10cpi"/>
          <w:color w:val="FF0000"/>
          <w:lang w:val="en-CA"/>
        </w:rPr>
        <w:tab/>
        <w:t>oralement</w:t>
      </w:r>
      <w:r>
        <w:rPr>
          <w:rFonts w:ascii="Courier 10cpi" w:hAnsi="Courier 10cpi"/>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L'OBJET DE LA MOTION EST LE SUIVANT : une ordonnance autorisant le demandeur à obtenir un bref de mise sous séquestre judiciaire.</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LES MOYENS À L'APPUI DE LA MOTION SONT LES SUIVANTS :</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Un jugement [</w:t>
      </w:r>
      <w:r>
        <w:rPr>
          <w:rFonts w:ascii="Courier 10cpi" w:hAnsi="Courier 10cpi"/>
          <w:i/>
          <w:lang w:val="en-CA"/>
        </w:rPr>
        <w:t>ou</w:t>
      </w:r>
      <w:r>
        <w:rPr>
          <w:rFonts w:ascii="Courier 10cpi" w:hAnsi="Courier 10cpi"/>
          <w:lang w:val="en-CA"/>
        </w:rPr>
        <w:t xml:space="preserve"> une ordonnance </w:t>
      </w:r>
      <w:r>
        <w:rPr>
          <w:rFonts w:ascii="Courier 10cpi" w:hAnsi="Courier 10cpi"/>
          <w:i/>
          <w:lang w:val="en-CA"/>
        </w:rPr>
        <w:t>selon le cas</w:t>
      </w:r>
      <w:r>
        <w:rPr>
          <w:rFonts w:ascii="Courier 10cpi" w:hAnsi="Courier 10cpi"/>
          <w:lang w:val="en-CA"/>
        </w:rPr>
        <w:t>] en date du [</w:t>
      </w:r>
      <w:r>
        <w:rPr>
          <w:rFonts w:ascii="Courier 10cpi" w:hAnsi="Courier 10cpi"/>
          <w:i/>
          <w:lang w:val="en-CA"/>
        </w:rPr>
        <w:t>date</w:t>
      </w:r>
      <w:r>
        <w:rPr>
          <w:rFonts w:ascii="Courier 10cpi" w:hAnsi="Courier 10cpi"/>
          <w:lang w:val="en-CA"/>
        </w:rPr>
        <w:t>] a statué que le demandeur a le droit d'obtenir certains biens, dont ce jugement présente la description, du défendeur;</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Un bref de mise en possession a été déposé le [</w:t>
      </w:r>
      <w:r>
        <w:rPr>
          <w:rFonts w:ascii="Courier 10cpi" w:hAnsi="Courier 10cpi"/>
          <w:i/>
          <w:lang w:val="en-CA"/>
        </w:rPr>
        <w:t>date</w:t>
      </w:r>
      <w:r>
        <w:rPr>
          <w:rFonts w:ascii="Courier 10cpi" w:hAnsi="Courier 10cpi"/>
          <w:lang w:val="en-CA"/>
        </w:rPr>
        <w:t>] auprès du shérif du comté [</w:t>
      </w:r>
      <w:r>
        <w:rPr>
          <w:rFonts w:ascii="Courier 10cpi" w:hAnsi="Courier 10cpi"/>
          <w:i/>
          <w:lang w:val="en-CA"/>
        </w:rPr>
        <w:t>ou</w:t>
      </w:r>
      <w:r>
        <w:rPr>
          <w:rFonts w:ascii="Courier 10cpi" w:hAnsi="Courier 10cpi"/>
          <w:lang w:val="en-CA"/>
        </w:rPr>
        <w:t xml:space="preserve"> du district] de [</w:t>
      </w:r>
      <w:r>
        <w:rPr>
          <w:rFonts w:ascii="Courier 10cpi" w:hAnsi="Courier 10cpi"/>
          <w:i/>
          <w:lang w:val="en-CA"/>
        </w:rPr>
        <w:t>lieu</w:t>
      </w:r>
      <w:r>
        <w:rPr>
          <w:rFonts w:ascii="Courier 10cpi" w:hAnsi="Courier 10cpi"/>
          <w:lang w:val="en-CA"/>
        </w:rPr>
        <w:t>]. Ce bref enjoignait au shérif de saisir les biens décrits dans le bref appartenant au défendeur et de les remettre sans délai au demandeur;</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shérif a été incapable de saisir les biens susmentionnés;</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demandeur invoque le paragraphe 60.04(2) et la règle 60.09 des Règles de procédure civile.</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4514C" w:rsidRDefault="0064514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demandeur</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4514C" w:rsidRDefault="00645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64514C" w:rsidSect="0064514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14C"/>
    <w:rsid w:val="0064514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