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85" w:rsidRDefault="00F93685">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G. NOMINATION D'UN SÉQUESTRE SUIVANT LES PRINCIPES DE</w:t>
      </w:r>
    </w:p>
    <w:p w:rsidR="00F93685" w:rsidRDefault="00F93685">
      <w:pPr>
        <w:widowControl w:val="0"/>
        <w:tabs>
          <w:tab w:val="center" w:pos="4680"/>
        </w:tabs>
        <w:spacing w:line="240" w:lineRule="exact"/>
        <w:rPr>
          <w:rFonts w:ascii="Courier 10cpi" w:hAnsi="Courier 10cpi"/>
          <w:lang w:val="en-CA"/>
        </w:rPr>
      </w:pPr>
      <w:r>
        <w:rPr>
          <w:rFonts w:ascii="Courier 10cpi" w:hAnsi="Courier 10cpi"/>
          <w:b/>
          <w:lang w:val="en-CA"/>
        </w:rPr>
        <w:tab/>
        <w:t>L'EXÉCUTION FORCÉE RECONNUE EN EQUITY</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Il est possible de s'adresser au tribunal par voie de motion, et de faire valoir les principes de l'exécution forcée reconnue en equity, en vue d'obtenir la nomination d'un séquestre qui assurera l'exécution d'une ordonnance prescrivant le paiement ou le recouvrement d'une somme d'argent. La nomination du séquestre ne constitue pas une mesure d'exécution; elle constitue une mesure de redressement qui est reconnue en equity et qui est accordée au motif que les mesures d'exécution de la common law sont inexistantes ou inefficaces. La nomination d'un séquestre ne fait que lever l'obstacle qui empêche l'exécution forcée sous le régime de la common law. Voir les arrêts </w:t>
      </w:r>
      <w:r>
        <w:rPr>
          <w:rFonts w:ascii="Courier 10cpi" w:hAnsi="Courier 10cpi"/>
          <w:i/>
          <w:color w:val="FF0000"/>
          <w:lang w:val="en-CA"/>
        </w:rPr>
        <w:t>In re Shephard</w:t>
      </w:r>
      <w:r>
        <w:rPr>
          <w:rFonts w:ascii="Courier 10cpi" w:hAnsi="Courier 10cpi"/>
          <w:color w:val="FF0000"/>
          <w:lang w:val="en-CA"/>
        </w:rPr>
        <w:t xml:space="preserve">, (1889) 43 Ch.D. 131, p. 135 et 136 (C.A.);  </w:t>
      </w:r>
      <w:r>
        <w:rPr>
          <w:rFonts w:ascii="Courier 10cpi" w:hAnsi="Courier 10cpi"/>
          <w:i/>
          <w:color w:val="FF0000"/>
          <w:lang w:val="en-CA"/>
        </w:rPr>
        <w:t>Harris v. Beauchamp Brothers</w:t>
      </w:r>
      <w:r>
        <w:rPr>
          <w:rFonts w:ascii="Courier 10cpi" w:hAnsi="Courier 10cpi"/>
          <w:color w:val="FF0000"/>
          <w:lang w:val="en-CA"/>
        </w:rPr>
        <w:t xml:space="preserve">, [1894] 1 Q.B. 801, p. 809 (C.A.). </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 xml:space="preserve">Lorsque le créancier d'un jugement présente une motion en vue d'obtenir la nomination d'un séquestre en vertu des principes de l'exécution forcée reconnue en equity, il doit établir : a) qu'un jugement lui ouvre le droit à l'exécution forcée; b) qu'il a été incapable d'exécuter le jugement par les voies ordinaires d'exécution forcée; c) que le débiteur est en possession d'un élément d'actif particulier susceptible de le désintéresser si l'obstacle ou la difficulté juridique qui l'empêche de le saisir par les voies normales est levé : </w:t>
      </w:r>
      <w:r>
        <w:rPr>
          <w:rFonts w:ascii="Courier 10cpi" w:hAnsi="Courier 10cpi"/>
          <w:i/>
          <w:color w:val="FF0000"/>
          <w:lang w:val="en-CA"/>
        </w:rPr>
        <w:t>Re Peterson Livestock Ltd. and Fox</w:t>
      </w:r>
      <w:r>
        <w:rPr>
          <w:rFonts w:ascii="Courier 10cpi" w:hAnsi="Courier 10cpi"/>
          <w:color w:val="FF0000"/>
          <w:lang w:val="en-CA"/>
        </w:rPr>
        <w:t>, (1982) 131 D.L.R. (3d) 716, p. 719, [1982] 2 W.W.R. 204, p. 207, Alta. L. R. (2d) 311, 35 A.R. 471 (C.A.).</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 xml:space="preserve">Le tribunal ne doit nommer un séquestre suivant les principes de l'exécution forcée reconnue en equity que si le créancier du jugement a le droit d'être payé à partir d'un élément d'actif particulier que les voies normales d'exécution ne lui permettent pas d'atteindre : </w:t>
      </w:r>
      <w:r>
        <w:rPr>
          <w:rFonts w:ascii="Courier 10cpi" w:hAnsi="Courier 10cpi"/>
          <w:i/>
          <w:color w:val="FF0000"/>
          <w:lang w:val="en-CA"/>
        </w:rPr>
        <w:t>Eaton v. Brant</w:t>
      </w:r>
      <w:r>
        <w:rPr>
          <w:rFonts w:ascii="Courier 10cpi" w:hAnsi="Courier 10cpi"/>
          <w:color w:val="FF0000"/>
          <w:lang w:val="en-CA"/>
        </w:rPr>
        <w:t xml:space="preserve">, (1924) 55 O.L.R. 346, 20 O.W.N. 40 (C.A). Lorsqu'il constate que la procédure d'exécution  serait difficilement praticable, le tribunal peut nommer un séquestre même si aucun obstacle juridique n'empêche l'exécution ordinaire : </w:t>
      </w:r>
      <w:r>
        <w:rPr>
          <w:rFonts w:ascii="Courier 10cpi" w:hAnsi="Courier 10cpi"/>
          <w:i/>
          <w:color w:val="FF0000"/>
          <w:lang w:val="en-CA"/>
        </w:rPr>
        <w:t>McCart v. McCart</w:t>
      </w:r>
      <w:r>
        <w:rPr>
          <w:rFonts w:ascii="Courier 10cpi" w:hAnsi="Courier 10cpi"/>
          <w:color w:val="FF0000"/>
          <w:lang w:val="en-CA"/>
        </w:rPr>
        <w:t xml:space="preserve">, [1947] O.W.N. 48 (H.C.); </w:t>
      </w:r>
      <w:r>
        <w:rPr>
          <w:rFonts w:ascii="Courier 10cpi" w:hAnsi="Courier 10cpi"/>
          <w:i/>
          <w:color w:val="FF0000"/>
          <w:lang w:val="en-CA"/>
        </w:rPr>
        <w:t>Garry Finance Corporation Limited. v. Heizman</w:t>
      </w:r>
      <w:r>
        <w:rPr>
          <w:rFonts w:ascii="Courier 10cpi" w:hAnsi="Courier 10cpi"/>
          <w:color w:val="FF0000"/>
          <w:lang w:val="en-CA"/>
        </w:rPr>
        <w:t xml:space="preserve">, [1939] 1 W.W.R. 541 (C.A. Man.); </w:t>
      </w:r>
      <w:r>
        <w:rPr>
          <w:rFonts w:ascii="Courier 10cpi" w:hAnsi="Courier 10cpi"/>
          <w:i/>
          <w:color w:val="FF0000"/>
          <w:lang w:val="en-CA"/>
        </w:rPr>
        <w:t>Manning Wanless Building Supplies Ltd. v. Puskas</w:t>
      </w:r>
      <w:r>
        <w:rPr>
          <w:rFonts w:ascii="Courier 10cpi" w:hAnsi="Courier 10cpi"/>
          <w:color w:val="FF0000"/>
          <w:lang w:val="en-CA"/>
        </w:rPr>
        <w:t xml:space="preserve">, (1962) 39 W.W.R. 672 (C.S. Alb.); </w:t>
      </w:r>
      <w:r>
        <w:rPr>
          <w:rFonts w:ascii="Courier 10cpi" w:hAnsi="Courier 10cpi"/>
          <w:i/>
          <w:color w:val="FF0000"/>
          <w:lang w:val="en-CA"/>
        </w:rPr>
        <w:t>NEC Corp. v. Steintron International Electronics Ltd.</w:t>
      </w:r>
      <w:r>
        <w:rPr>
          <w:rFonts w:ascii="Courier 10cpi" w:hAnsi="Courier 10cpi"/>
          <w:color w:val="FF0000"/>
          <w:lang w:val="en-CA"/>
        </w:rPr>
        <w:t>, (1985) 67 B.C.L.R. 191, 58 C.B.R. (N.S.) 284 (C.S.).</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 xml:space="preserve">La nomination d'un séquestre doit être refusée lorsque le créancier du jugement dispose d'autres mesures d'exécution : </w:t>
      </w:r>
      <w:r>
        <w:rPr>
          <w:rFonts w:ascii="Courier 10cpi" w:hAnsi="Courier 10cpi"/>
          <w:i/>
          <w:color w:val="FF0000"/>
          <w:lang w:val="en-CA"/>
        </w:rPr>
        <w:t>Stuart Brothers Co. v. Saskatoon Bottling Co.</w:t>
      </w:r>
      <w:r>
        <w:rPr>
          <w:rFonts w:ascii="Courier 10cpi" w:hAnsi="Courier 10cpi"/>
          <w:color w:val="FF0000"/>
          <w:lang w:val="en-CA"/>
        </w:rPr>
        <w:t xml:space="preserve">, (1962) 41 W.W.R. 446 (B.R. Sask.). Ainsi, aucun séquestre ne doit être nommé s'il est établi que le créancier peut exécuter le jugement normalement contre d'autres biens du débiteur : </w:t>
      </w:r>
      <w:r>
        <w:rPr>
          <w:rFonts w:ascii="Courier 10cpi" w:hAnsi="Courier 10cpi"/>
          <w:i/>
          <w:color w:val="FF0000"/>
          <w:lang w:val="en-CA"/>
        </w:rPr>
        <w:t>Sign-O-Lite Plastics Ltd. v. McDonald Drugs (Cranbrook) Ltd.</w:t>
      </w:r>
      <w:r>
        <w:rPr>
          <w:rFonts w:ascii="Courier 10cpi" w:hAnsi="Courier 10cpi"/>
          <w:color w:val="FF0000"/>
          <w:lang w:val="en-CA"/>
        </w:rPr>
        <w:t xml:space="preserve">, (1980) 24 B.C.L.R. 172, p. 174, 115 D.L.R. (3d) 378 (C.S.). Aucun séquestre ne doit être nommé lorsque le bien visé peut être saisi par le shérif : </w:t>
      </w:r>
      <w:r>
        <w:rPr>
          <w:rFonts w:ascii="Courier 10cpi" w:hAnsi="Courier 10cpi"/>
          <w:i/>
          <w:color w:val="FF0000"/>
          <w:lang w:val="en-CA"/>
        </w:rPr>
        <w:t>Harrison v. Harrison</w:t>
      </w:r>
      <w:r>
        <w:rPr>
          <w:rFonts w:ascii="Courier 10cpi" w:hAnsi="Courier 10cpi"/>
          <w:color w:val="FF0000"/>
          <w:lang w:val="en-CA"/>
        </w:rPr>
        <w:t xml:space="preserve">, (1892) 14 P.R. 436; </w:t>
      </w:r>
      <w:r>
        <w:rPr>
          <w:rFonts w:ascii="Courier 10cpi" w:hAnsi="Courier 10cpi"/>
          <w:i/>
          <w:color w:val="FF0000"/>
          <w:lang w:val="en-CA"/>
        </w:rPr>
        <w:t>Hodgman v. Tudhope</w:t>
      </w:r>
      <w:r>
        <w:rPr>
          <w:rFonts w:ascii="Courier 10cpi" w:hAnsi="Courier 10cpi"/>
          <w:color w:val="FF0000"/>
          <w:lang w:val="en-CA"/>
        </w:rPr>
        <w:t xml:space="preserve">, (1992) 22 O.W.N. 33 (H.C.). La nomination du séquestre doit être refusée lorsque le débiteur en vertu du jugement est créancier d'une dette exigible sans condition, qui est susceptible d'être saisie entre les mains d'un tiers : </w:t>
      </w:r>
      <w:r>
        <w:rPr>
          <w:rFonts w:ascii="Courier 10cpi" w:hAnsi="Courier 10cpi"/>
          <w:i/>
          <w:color w:val="FF0000"/>
          <w:lang w:val="en-CA"/>
        </w:rPr>
        <w:t>Royal Trust Co. v. Kritzwiser</w:t>
      </w:r>
      <w:r>
        <w:rPr>
          <w:rFonts w:ascii="Courier 10cpi" w:hAnsi="Courier 10cpi"/>
          <w:color w:val="FF0000"/>
          <w:lang w:val="en-CA"/>
        </w:rPr>
        <w:t xml:space="preserve">, [1924] 3 D.L.R. 868, [1924] 2 W.W.R. 760 (C.A. Sask.). D'autre part, le fait que le créancier soit obligé de délivrer un grand nombre d'assignations à des tiers saisis constitue une difficulté particulière qui justifie le tribunal d'ordonner la nomination d'un séquestre suivant les principes de l'exécution reconnue en equity : </w:t>
      </w:r>
      <w:r>
        <w:rPr>
          <w:rFonts w:ascii="Courier 10cpi" w:hAnsi="Courier 10cpi"/>
          <w:i/>
          <w:color w:val="FF0000"/>
          <w:lang w:val="en-CA"/>
        </w:rPr>
        <w:t>Manning Wanless Building Supplies Ltd. v. Puskas</w:t>
      </w:r>
      <w:r>
        <w:rPr>
          <w:rFonts w:ascii="Courier 10cpi" w:hAnsi="Courier 10cpi"/>
          <w:color w:val="FF0000"/>
          <w:lang w:val="en-CA"/>
        </w:rPr>
        <w:t>, précitée).</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 xml:space="preserve">Le mandat du séquestre n'est pas de prendre possession de l'ensemble des éléments d'actif du débiteur mais de prendre possession d'un élément d'actif en particulier, par ailleurs exigible : </w:t>
      </w:r>
      <w:r>
        <w:rPr>
          <w:rFonts w:ascii="Courier 10cpi" w:hAnsi="Courier 10cpi"/>
          <w:i/>
          <w:color w:val="FF0000"/>
          <w:lang w:val="en-CA"/>
        </w:rPr>
        <w:t>China Software Corporation v. Leimbigler</w:t>
      </w:r>
      <w:r>
        <w:rPr>
          <w:rFonts w:ascii="Courier 10cpi" w:hAnsi="Courier 10cpi"/>
          <w:color w:val="FF0000"/>
          <w:lang w:val="en-CA"/>
        </w:rPr>
        <w:t xml:space="preserve">, (1990) 45 C.P.C. (2d) 41, 4 C.B.R. 185 (Prot. C.-B.). Si un élément d'actif particulier est identifié mais qu'il n'est pas exigible, le tribunal refusera de nommer un séquestre pour en prendre possession. La règle générale en la matière veut qu'une dette qui n'est pas échue ou payable ne puisse faire l'objet d'une ordonnance de séquestre, parce qu'elle n'est pas exigible : </w:t>
      </w:r>
      <w:r>
        <w:rPr>
          <w:rFonts w:ascii="Courier 10cpi" w:hAnsi="Courier 10cpi"/>
          <w:i/>
          <w:color w:val="FF0000"/>
          <w:lang w:val="en-CA"/>
        </w:rPr>
        <w:t>Kuss v. Kuss</w:t>
      </w:r>
      <w:r>
        <w:rPr>
          <w:rFonts w:ascii="Courier 10cpi" w:hAnsi="Courier 10cpi"/>
          <w:color w:val="FF0000"/>
          <w:lang w:val="en-CA"/>
        </w:rPr>
        <w:t xml:space="preserve">, [1935] 2 W.W.R. 561, [1935] 4 D.L.R. 77, 43 Man. R. 240 (C.A.); </w:t>
      </w:r>
      <w:r>
        <w:rPr>
          <w:rFonts w:ascii="Courier 10cpi" w:hAnsi="Courier 10cpi"/>
          <w:i/>
          <w:color w:val="FF0000"/>
          <w:lang w:val="en-CA"/>
        </w:rPr>
        <w:t>Re Peterson Livestock Ltd. and Fox</w:t>
      </w:r>
      <w:r>
        <w:rPr>
          <w:rFonts w:ascii="Courier 10cpi" w:hAnsi="Courier 10cpi"/>
          <w:color w:val="FF0000"/>
          <w:lang w:val="en-CA"/>
        </w:rPr>
        <w:t xml:space="preserve">, précitée. Les difficultés d'exécution que rencontrerait un conjoint créancier d'une ordonnance alimentaire ont cependant donné lieu à une solution différente dans l'affaire </w:t>
      </w:r>
      <w:r>
        <w:rPr>
          <w:rFonts w:ascii="Courier 10cpi" w:hAnsi="Courier 10cpi"/>
          <w:i/>
          <w:color w:val="FF0000"/>
          <w:lang w:val="en-CA"/>
        </w:rPr>
        <w:t>Re Simon and Simon</w:t>
      </w:r>
      <w:r>
        <w:rPr>
          <w:rFonts w:ascii="Courier 10cpi" w:hAnsi="Courier 10cpi"/>
          <w:color w:val="FF0000"/>
          <w:lang w:val="en-CA"/>
        </w:rPr>
        <w:t xml:space="preserve">, (1984) 45 O.R. (2d) 534, 2 O.A.C. 299, 42 C.P.C. 133, 7 D.L.R. (4th) 128, 38 R.F.L. (2d) 198, 50 C.B.R. (N.S.) 161 (C. div.). Après avoir noté que, en règle générale, la nomination du séquestre est refusée lorsque la créance à percevoir n'est pas encore exigible, le tribunal a nommé un séquestre pour recueillir des prestations de retraite futures. Cette question des créances  futures est le plus souvent soulevée en regard de gains futurs. Dans un tel contexte, le tribunal refuse la nomination d'un séquestre : </w:t>
      </w:r>
      <w:r>
        <w:rPr>
          <w:rFonts w:ascii="Courier 10cpi" w:hAnsi="Courier 10cpi"/>
          <w:i/>
          <w:color w:val="FF0000"/>
          <w:lang w:val="en-CA"/>
        </w:rPr>
        <w:t>Central Bank of Canada v. Ellis</w:t>
      </w:r>
      <w:r>
        <w:rPr>
          <w:rFonts w:ascii="Courier 10cpi" w:hAnsi="Courier 10cpi"/>
          <w:color w:val="FF0000"/>
          <w:lang w:val="en-CA"/>
        </w:rPr>
        <w:t xml:space="preserve">, (1893) 20 O.A.R. 364 (C.A.); </w:t>
      </w:r>
      <w:r>
        <w:rPr>
          <w:rFonts w:ascii="Courier 10cpi" w:hAnsi="Courier 10cpi"/>
          <w:i/>
          <w:color w:val="FF0000"/>
          <w:lang w:val="en-CA"/>
        </w:rPr>
        <w:t>Manufacturers Lumber Co. v. Pigeon</w:t>
      </w:r>
      <w:r>
        <w:rPr>
          <w:rFonts w:ascii="Courier 10cpi" w:hAnsi="Courier 10cpi"/>
          <w:color w:val="FF0000"/>
          <w:lang w:val="en-CA"/>
        </w:rPr>
        <w:t xml:space="preserve">, (1910) 22 O.L.R. 378 (C. div.), conf. par 24 O.L.R. 354 (C.A.); </w:t>
      </w:r>
      <w:r>
        <w:rPr>
          <w:rFonts w:ascii="Courier 10cpi" w:hAnsi="Courier 10cpi"/>
          <w:i/>
          <w:color w:val="FF0000"/>
          <w:lang w:val="en-CA"/>
        </w:rPr>
        <w:t>Simpson v. Simpson</w:t>
      </w:r>
      <w:r>
        <w:rPr>
          <w:rFonts w:ascii="Courier 10cpi" w:hAnsi="Courier 10cpi"/>
          <w:color w:val="FF0000"/>
          <w:lang w:val="en-CA"/>
        </w:rPr>
        <w:t xml:space="preserve">, (1934) 49 B.C.R. 288 (C.S.); </w:t>
      </w:r>
      <w:r>
        <w:rPr>
          <w:rFonts w:ascii="Courier 10cpi" w:hAnsi="Courier 10cpi"/>
          <w:i/>
          <w:color w:val="FF0000"/>
          <w:lang w:val="en-CA"/>
        </w:rPr>
        <w:t>Kuss v. Kuss</w:t>
      </w:r>
      <w:r>
        <w:rPr>
          <w:rFonts w:ascii="Courier 10cpi" w:hAnsi="Courier 10cpi"/>
          <w:color w:val="FF0000"/>
          <w:lang w:val="en-CA"/>
        </w:rPr>
        <w:t xml:space="preserve">, précitée; </w:t>
      </w:r>
      <w:r>
        <w:rPr>
          <w:rFonts w:ascii="Courier 10cpi" w:hAnsi="Courier 10cpi"/>
          <w:i/>
          <w:color w:val="FF0000"/>
          <w:lang w:val="en-CA"/>
        </w:rPr>
        <w:t>Paramount Attraction &amp; Sales Ltd. v. Lust</w:t>
      </w:r>
      <w:r>
        <w:rPr>
          <w:rFonts w:ascii="Courier 10cpi" w:hAnsi="Courier 10cpi"/>
          <w:color w:val="FF0000"/>
          <w:lang w:val="en-CA"/>
        </w:rPr>
        <w:t xml:space="preserve">, [1950] 1 W.W.R. 258 (C. Distr. Alb.); </w:t>
      </w:r>
      <w:r>
        <w:rPr>
          <w:rFonts w:ascii="Courier 10cpi" w:hAnsi="Courier 10cpi"/>
          <w:i/>
          <w:color w:val="FF0000"/>
          <w:lang w:val="en-CA"/>
        </w:rPr>
        <w:t>Commerce Capital Mortgage Corp. v. Leung</w:t>
      </w:r>
      <w:r>
        <w:rPr>
          <w:rFonts w:ascii="Courier 10cpi" w:hAnsi="Courier 10cpi"/>
          <w:color w:val="FF0000"/>
          <w:lang w:val="en-CA"/>
        </w:rPr>
        <w:t>, (1979) 32 C.B.R. (N.S.) 182 (C.S. Ont.).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On trouvera une analyse approfondie de la présente question dans l'ouvrage de Williston &amp; Rolls intitulé «</w:t>
      </w:r>
      <w:r>
        <w:rPr>
          <w:rFonts w:ascii="Courier 10cpi" w:hAnsi="Courier 10cpi"/>
          <w:i/>
          <w:color w:val="FF0000"/>
          <w:lang w:val="en-CA"/>
        </w:rPr>
        <w:t>The Law of Civil Procedure</w:t>
      </w:r>
      <w:r>
        <w:rPr>
          <w:rFonts w:ascii="Courier 10cpi" w:hAnsi="Courier 10cpi"/>
          <w:color w:val="FF0000"/>
          <w:lang w:val="en-CA"/>
        </w:rPr>
        <w:t>», vol. 2 (Toronto, Butterworths, 1969), p. 1075 à 1080.</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color w:val="FF0000"/>
          <w:lang w:val="en-CA"/>
        </w:rPr>
        <w:t>Le chapitre 43 du présent ouvrage, intitulé «Nomination d'un séquestre», présente des commentaires et des modèles concernant la nomination d'un séquestre provisoire afin qu'il prenne possession des biens  en litige dans une action et qu'il les administre</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[85:G:1]</w:t>
      </w:r>
    </w:p>
    <w:p w:rsidR="00F93685" w:rsidRDefault="00F9368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demanderesse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L'OBJET DE LA MOTION EST LE SUIVANT : une ordonnance qui nomme la demanderesse séquestre sans rémunération et sans garantie en lui conférant le mandat de percevoir les sommes d'argent et de prendre possession des biens qui sont dévolus au défendeur [</w:t>
      </w:r>
      <w:r>
        <w:rPr>
          <w:rFonts w:ascii="Courier 10cpi" w:hAnsi="Courier 10cpi"/>
          <w:i/>
          <w:lang w:val="en-CA"/>
        </w:rPr>
        <w:t>nom</w:t>
      </w:r>
      <w:r>
        <w:rPr>
          <w:rFonts w:ascii="Courier 10cpi" w:hAnsi="Courier 10cpi"/>
          <w:lang w:val="en-CA"/>
        </w:rPr>
        <w:t>] au titre de la succession de feu [</w:t>
      </w:r>
      <w:r>
        <w:rPr>
          <w:rFonts w:ascii="Courier 10cpi" w:hAnsi="Courier 10cpi"/>
          <w:i/>
          <w:lang w:val="en-CA"/>
        </w:rPr>
        <w:t>nom</w:t>
      </w:r>
      <w:r>
        <w:rPr>
          <w:rFonts w:ascii="Courier 10cpi" w:hAnsi="Courier 10cpi"/>
          <w:lang w:val="en-CA"/>
        </w:rPr>
        <w:t>] ou en liaison avec cette succession.</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LES MOYENS À L'APPUI DE LA MOTION SONT LES SUIVANTS :</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un jugement en date du [</w:t>
      </w:r>
      <w:r>
        <w:rPr>
          <w:rFonts w:ascii="Courier 10cpi" w:hAnsi="Courier 10cpi"/>
          <w:i/>
          <w:lang w:val="en-CA"/>
        </w:rPr>
        <w:t>date</w:t>
      </w:r>
      <w:r>
        <w:rPr>
          <w:rFonts w:ascii="Courier 10cpi" w:hAnsi="Courier 10cpi"/>
          <w:lang w:val="en-CA"/>
        </w:rPr>
        <w:t>] de cette Cour a condamné le défendeur [</w:t>
      </w:r>
      <w:r>
        <w:rPr>
          <w:rFonts w:ascii="Courier 10cpi" w:hAnsi="Courier 10cpi"/>
          <w:i/>
          <w:lang w:val="en-CA"/>
        </w:rPr>
        <w:t>nom</w:t>
      </w:r>
      <w:r>
        <w:rPr>
          <w:rFonts w:ascii="Courier 10cpi" w:hAnsi="Courier 10cpi"/>
          <w:lang w:val="en-CA"/>
        </w:rPr>
        <w:t>] à payer un montant de ... $ à la demanderesse;</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demanderesse a été incapable de percevoir le montant accordé par ce jugement;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défendeur est le neveu de feu [</w:t>
      </w:r>
      <w:r>
        <w:rPr>
          <w:rFonts w:ascii="Courier 10cpi" w:hAnsi="Courier 10cpi"/>
          <w:i/>
          <w:lang w:val="en-CA"/>
        </w:rPr>
        <w:t>nom</w:t>
      </w:r>
      <w:r>
        <w:rPr>
          <w:rFonts w:ascii="Courier 10cpi" w:hAnsi="Courier 10cpi"/>
          <w:lang w:val="en-CA"/>
        </w:rPr>
        <w:t>], qui était domiciliée dans la ville de ...; à ce titre, il détient un intérêt dans la succession de la défunte;</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la demanderesse invoque la règle 60.02 des Règles de procédure civile.</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le jugement rendu par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3.</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F93685" w:rsidRDefault="00F9368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demanderesse</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93685" w:rsidRDefault="00F93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F93685" w:rsidSect="00F9368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685"/>
    <w:rsid w:val="00F9368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