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6C" w:rsidRDefault="00B8176C">
      <w:pPr>
        <w:widowControl w:val="0"/>
        <w:tabs>
          <w:tab w:val="center" w:pos="4680"/>
        </w:tabs>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[88:A:2]</w:t>
      </w:r>
    </w:p>
    <w:p w:rsidR="00B8176C" w:rsidRDefault="00B8176C">
      <w:pPr>
        <w:widowControl w:val="0"/>
        <w:rPr>
          <w:rFonts w:ascii="Courier 10cpi" w:hAnsi="Courier 10cpi"/>
          <w:lang w:val="en-CA"/>
        </w:rPr>
      </w:pPr>
    </w:p>
    <w:p w:rsidR="00B8176C" w:rsidRDefault="00B8176C">
      <w:pPr>
        <w:widowControl w:val="0"/>
        <w:rPr>
          <w:rFonts w:ascii="Courier 10cpi" w:hAnsi="Courier 10cpi"/>
          <w:lang w:val="en-CA"/>
        </w:rPr>
      </w:pPr>
    </w:p>
    <w:p w:rsidR="00B8176C" w:rsidRDefault="00B8176C">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Motion en autorisation d'interjeter appel : variante</w:t>
      </w:r>
    </w:p>
    <w:p w:rsidR="00B8176C" w:rsidRDefault="00B8176C">
      <w:pPr>
        <w:widowControl w:val="0"/>
        <w:rPr>
          <w:rFonts w:ascii="Courier 10cpi" w:hAnsi="Courier 10cpi"/>
          <w:lang w:val="en-CA"/>
        </w:rPr>
      </w:pPr>
    </w:p>
    <w:p w:rsidR="00B8176C" w:rsidRDefault="00B8176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8176C" w:rsidRDefault="00B8176C">
      <w:pPr>
        <w:widowControl w:val="0"/>
        <w:rPr>
          <w:rFonts w:ascii="Courier 10cpi" w:hAnsi="Courier 10cpi"/>
          <w:lang w:val="en-CA"/>
        </w:rPr>
      </w:pPr>
    </w:p>
    <w:p w:rsidR="00B8176C" w:rsidRDefault="00B8176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8176C" w:rsidRDefault="00B8176C">
      <w:pPr>
        <w:widowControl w:val="0"/>
        <w:rPr>
          <w:rFonts w:ascii="Courier 10cpi" w:hAnsi="Courier 10cpi"/>
          <w:lang w:val="en-CA"/>
        </w:rPr>
      </w:pPr>
    </w:p>
    <w:p w:rsidR="00B8176C" w:rsidRDefault="00B8176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8176C" w:rsidRDefault="00B8176C">
      <w:pPr>
        <w:widowControl w:val="0"/>
        <w:rPr>
          <w:rFonts w:ascii="Courier 10cpi" w:hAnsi="Courier 10cpi"/>
          <w:lang w:val="en-CA"/>
        </w:rPr>
      </w:pPr>
    </w:p>
    <w:p w:rsidR="00B8176C" w:rsidRDefault="00B8176C">
      <w:pPr>
        <w:widowControl w:val="0"/>
        <w:jc w:val="center"/>
        <w:rPr>
          <w:rFonts w:ascii="Courier 10cpi" w:hAnsi="Courier 10cpi"/>
          <w:lang w:val="en-CA"/>
        </w:rPr>
      </w:pPr>
      <w:r>
        <w:rPr>
          <w:rFonts w:ascii="Courier 10cpi" w:hAnsi="Courier 10cpi"/>
          <w:lang w:val="en-CA"/>
        </w:rPr>
        <w:t>AVIS DE MOTION</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ab/>
        <w:t>Les requérants présenteront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B8176C" w:rsidRDefault="00B8176C">
      <w:pPr>
        <w:widowControl w:val="0"/>
        <w:jc w:val="both"/>
        <w:rPr>
          <w:rFonts w:ascii="Courier 10cpi" w:hAnsi="Courier 10cpi"/>
          <w:color w:val="FF0000"/>
          <w:lang w:val="en-CA"/>
        </w:rPr>
      </w:pPr>
    </w:p>
    <w:p w:rsidR="00B8176C" w:rsidRDefault="00B8176C">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B8176C" w:rsidRDefault="00B8176C">
      <w:pPr>
        <w:widowControl w:val="0"/>
        <w:jc w:val="both"/>
        <w:rPr>
          <w:rFonts w:ascii="Courier 10cpi" w:hAnsi="Courier 10cpi"/>
          <w:color w:val="FF0000"/>
          <w:lang w:val="en-CA"/>
        </w:rPr>
      </w:pPr>
    </w:p>
    <w:p w:rsidR="00B8176C" w:rsidRDefault="00B8176C">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B8176C" w:rsidRDefault="00B8176C">
      <w:pPr>
        <w:widowControl w:val="0"/>
        <w:jc w:val="both"/>
        <w:rPr>
          <w:rFonts w:ascii="Courier 10cpi" w:hAnsi="Courier 10cpi"/>
          <w:color w:val="FF0000"/>
          <w:lang w:val="en-CA"/>
        </w:rPr>
      </w:pPr>
    </w:p>
    <w:p w:rsidR="00B8176C" w:rsidRDefault="00B8176C">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B8176C" w:rsidRDefault="00B8176C">
      <w:pPr>
        <w:widowControl w:val="0"/>
        <w:jc w:val="both"/>
        <w:rPr>
          <w:rFonts w:ascii="Courier 10cpi" w:hAnsi="Courier 10cpi"/>
          <w:color w:val="FF0000"/>
          <w:lang w:val="en-CA"/>
        </w:rPr>
      </w:pPr>
    </w:p>
    <w:p w:rsidR="00B8176C" w:rsidRDefault="00B8176C">
      <w:pPr>
        <w:widowControl w:val="0"/>
        <w:jc w:val="both"/>
        <w:rPr>
          <w:rFonts w:ascii="Courier 10cpi" w:hAnsi="Courier 10cpi"/>
          <w:lang w:val="en-CA"/>
        </w:rPr>
      </w:pPr>
      <w:r>
        <w:rPr>
          <w:rFonts w:ascii="Courier 10cpi" w:hAnsi="Courier 10cpi"/>
          <w:lang w:val="en-CA"/>
        </w:rPr>
        <w:tab/>
        <w:t>L'OBJET DE LA MOTION EST LE SUIVANT : une ordonnance autorisant les requérants à interjeter appel à la Cour divisionnaire de l'ordonnance en date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qui a rejeté la motion des requérants en vue de contraindre certaines personnes à subir des interrogatoires.</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ab/>
        <w:t>LES MOYENS À L'APPUI DE LA MOTION SONT LES SUIVANTS :</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1.</w:t>
      </w:r>
      <w:r>
        <w:rPr>
          <w:rFonts w:ascii="Courier 10cpi" w:hAnsi="Courier 10cpi"/>
          <w:lang w:val="en-CA"/>
        </w:rPr>
        <w:tab/>
        <w:t>Il existe de bonnes raisons de douter du bien-fondé de l'ordonnance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l'appel projeté soulève une question importante en ce qui concerne l'applicabilité des Règles de procédure civile et l'admissibilité de certains éléments de preuve dans le cadre des instances criminelles.</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2.</w:t>
      </w:r>
      <w:r>
        <w:rPr>
          <w:rFonts w:ascii="Courier 10cpi" w:hAnsi="Courier 10cpi"/>
          <w:lang w:val="en-CA"/>
        </w:rPr>
        <w:tab/>
        <w:t>L'appel projeté conteste la régularité et la pertinence de la preuve qui a été présentée sur les modalités de certaines perquisitions et saisies effectuées dans le cadre d'une requête en annulation de mandats de perquisition et en annulation des perquisitions et des saisies effectuées sous leur autorité.</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3.</w:t>
      </w:r>
      <w:r>
        <w:rPr>
          <w:rFonts w:ascii="Courier 10cpi" w:hAnsi="Courier 10cpi"/>
          <w:lang w:val="en-CA"/>
        </w:rPr>
        <w:tab/>
        <w:t>La décision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xml:space="preserve">] est incompatible avec une autre décision que cette Cour a rendue dans le cadre d'une requête en annulation de mandats de perquisition. Cette incompatibilité concerne le contre-interrogatoire sur certains renseignements donnés sous serment en vue d'obtenir la délivrance de mandats de perquisition en vertu de la </w:t>
      </w:r>
      <w:r>
        <w:rPr>
          <w:rFonts w:ascii="Courier 10cpi" w:hAnsi="Courier 10cpi"/>
          <w:i/>
          <w:lang w:val="en-CA"/>
        </w:rPr>
        <w:t>Loi sur l'impôt</w:t>
      </w:r>
      <w:r>
        <w:rPr>
          <w:rFonts w:ascii="Courier 10cpi" w:hAnsi="Courier 10cpi"/>
          <w:lang w:val="en-CA"/>
        </w:rPr>
        <w:t>, S.C. 1970, 1971, 1972, chap. 63.  L'autorisation d'interjeter appel devrait être accordée pour résoudre ce conflit.</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4.</w:t>
      </w:r>
      <w:r>
        <w:rPr>
          <w:rFonts w:ascii="Courier 10cpi" w:hAnsi="Courier 10cpi"/>
          <w:lang w:val="en-CA"/>
        </w:rPr>
        <w:tab/>
        <w:t>Les moyens additionnels jugés pertinents par les procureurs.</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ab/>
        <w:t>LA PREUVE DOCUMENTAIRE SUIVANTE sera utilisée à l'appui de la motion : les dossiers de motion et de requête présentés à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B8176C" w:rsidRDefault="00B8176C">
      <w:pPr>
        <w:widowControl w:val="0"/>
        <w:jc w:val="both"/>
        <w:rPr>
          <w:rFonts w:ascii="Courier 10cpi" w:hAnsi="Courier 10cpi"/>
          <w:lang w:val="en-CA"/>
        </w:rPr>
      </w:pPr>
    </w:p>
    <w:p w:rsidR="00B8176C" w:rsidRDefault="00B8176C">
      <w:pPr>
        <w:widowControl w:val="0"/>
        <w:ind w:left="4320" w:hanging="4320"/>
        <w:jc w:val="both"/>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requérants</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B8176C" w:rsidRDefault="00B8176C">
      <w:pPr>
        <w:widowControl w:val="0"/>
        <w:jc w:val="both"/>
        <w:rPr>
          <w:rFonts w:ascii="Courier 10cpi" w:hAnsi="Courier 10cpi"/>
          <w:lang w:val="en-CA"/>
        </w:rPr>
      </w:pPr>
    </w:p>
    <w:p w:rsidR="00B8176C" w:rsidRDefault="00B8176C">
      <w:pPr>
        <w:widowControl w:val="0"/>
        <w:jc w:val="both"/>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B8176C" w:rsidSect="00B8176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6C"/>
    <w:rsid w:val="00B8176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