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F8" w:rsidRDefault="001254F8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[89:B:37]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question constitutionnelle : variante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1254F8" w:rsidRDefault="001254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Se prévalant de l'autorisation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leur a été accordée par la Cour d'appel, LES REQUÉRANTS INTERJETTENT APPEL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la Cour divisionnaire,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  <w:t xml:space="preserve">LES APPELANTS DEMANDENT que l'ordonnance soit annulée et que soit rendu un jugement déclarant inconstitutionnel et nul le règlement municipal ... de la ville de ... 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règlement susmentionné a été adopté en vertu d'une loi provinciale et dans l'exercice d'une compétence provinciale, mais il concerne essentiellement l'aéronautique, une matière qui relève de la compétence exclusive du Parlement du Canada.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municipalité qui exerce sa compétence d'expropriation aux fins d'établir un aéroport excède automatiquement sa compétence.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ville de ... n'a pas le pouvoir d'exproprier les biens-fonds situés dans une autre municipalité à des fins municipales.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En l'espèce, la ville de ... n'a pas le pouvoir d'exproprier les biens-fonds des requérants.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appelants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1254F8" w:rsidRDefault="001254F8">
      <w:pPr>
        <w:widowControl w:val="0"/>
        <w:rPr>
          <w:rFonts w:ascii="Courier 10cpi" w:hAnsi="Courier 10cpi"/>
          <w:lang w:val="en-CA"/>
        </w:rPr>
      </w:pPr>
    </w:p>
    <w:p w:rsidR="001254F8" w:rsidRDefault="001254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l'intimée</w:t>
      </w:r>
    </w:p>
    <w:sectPr w:rsidR="001254F8" w:rsidSect="001254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4F8"/>
    <w:rsid w:val="0012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