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B" w:rsidRDefault="00837ACB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[90:B:3]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LA SUITE DE LA REQUÊTE que lui a présentée le procureur du requérant en vue d'obtenir la prorogation du délai pour déposer une demande d'autorisation d'interjeter appel à la Cour suprême du Canada de l'ordonnance prononcée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par la Cour d'appel de l'Ontario dans la présente cause, le tribunal, après avoir entendu les plaidoiries du procureur du requérant et lu le consentement déposé, prononce les dispositions suivantes : 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IL EST ORDONNÉ que le délai pour déposer une demande d'autorisation d'appel soit prorogé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837ACB" w:rsidRDefault="00837AC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37ACB" w:rsidRDefault="00837ACB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Registraire adjoint, C.S.C.</w:t>
      </w:r>
    </w:p>
    <w:sectPr w:rsidR="00837ACB" w:rsidSect="00837A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ACB"/>
    <w:rsid w:val="0083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