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39" w:rsidRDefault="00A22439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sz w:val="36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  <w:t xml:space="preserve"> </w:t>
      </w:r>
      <w:r>
        <w:rPr>
          <w:rFonts w:ascii="Courier 10cpi" w:hAnsi="Courier 10cpi"/>
          <w:b/>
          <w:sz w:val="36"/>
          <w:lang w:val="en-CA"/>
        </w:rPr>
        <w:t>CHAPITRE 53</w:t>
      </w:r>
    </w:p>
    <w:p w:rsidR="00A22439" w:rsidRDefault="00A22439">
      <w:pPr>
        <w:widowControl w:val="0"/>
        <w:rPr>
          <w:rFonts w:ascii="Courier 10cpi" w:hAnsi="Courier 10cpi"/>
          <w:b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b/>
          <w:sz w:val="29"/>
          <w:lang w:val="en-CA"/>
        </w:rPr>
      </w:pPr>
      <w:r>
        <w:rPr>
          <w:rFonts w:ascii="Courier 10cpi" w:hAnsi="Courier 10cpi"/>
          <w:b/>
          <w:sz w:val="29"/>
          <w:lang w:val="en-CA"/>
        </w:rPr>
        <w:tab/>
        <w:t>INSTANCES VISANT LE RETRAIT DE</w:t>
      </w: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29"/>
          <w:lang w:val="en-CA"/>
        </w:rPr>
      </w:pPr>
      <w:r>
        <w:rPr>
          <w:rFonts w:ascii="Courier 10cpi" w:hAnsi="Courier 10cpi"/>
          <w:b/>
          <w:sz w:val="29"/>
          <w:lang w:val="en-CA"/>
        </w:rPr>
        <w:tab/>
        <w:t>RESTRICTIONS À LA CONSTRUCTION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b/>
          <w:sz w:val="36"/>
          <w:lang w:val="en-CA"/>
        </w:rPr>
        <w:t>REMARQUE :</w:t>
      </w:r>
      <w:r>
        <w:rPr>
          <w:rFonts w:ascii="Courier 10cpi" w:hAnsi="Courier 10cpi"/>
          <w:sz w:val="36"/>
          <w:lang w:val="en-CA"/>
        </w:rPr>
        <w:t xml:space="preserve"> L'article 61 de la </w:t>
      </w:r>
      <w:r>
        <w:rPr>
          <w:rFonts w:ascii="Courier 10cpi" w:hAnsi="Courier 10cpi"/>
          <w:i/>
          <w:sz w:val="36"/>
          <w:lang w:val="en-CA"/>
        </w:rPr>
        <w:t>Loi sur les actes translatifs de propriété</w:t>
      </w:r>
      <w:r>
        <w:rPr>
          <w:rFonts w:ascii="Courier 10cpi" w:hAnsi="Courier 10cpi"/>
          <w:sz w:val="36"/>
          <w:lang w:val="en-CA"/>
        </w:rPr>
        <w:t xml:space="preserve">, </w:t>
      </w:r>
      <w:r>
        <w:rPr>
          <w:rFonts w:ascii="Courier 10cpi" w:hAnsi="Courier 10cpi"/>
          <w:color w:val="FF0000"/>
          <w:sz w:val="36"/>
          <w:lang w:val="en-CA"/>
        </w:rPr>
        <w:t>L.R.O. 1990, chap. C.34</w:t>
      </w:r>
      <w:r>
        <w:rPr>
          <w:rFonts w:ascii="Courier 10cpi" w:hAnsi="Courier 10cpi"/>
          <w:sz w:val="36"/>
          <w:lang w:val="en-CA"/>
        </w:rPr>
        <w:t xml:space="preserve">, prévoit qu'un juge de la Cour de l'Ontario (Division générale) du comté ou du district dans lequel est situé le bien-fonds peut, par ordonnance, modifier ou éteindre la condition ou l'engagement qui grève le bien-fonds ou une partie de celui-ci et notamment la condition ou l'engagement qui y interdit la construction ou qui en interdit une utilisation particulière. La procédure établie par la </w:t>
      </w:r>
      <w:r>
        <w:rPr>
          <w:rFonts w:ascii="Courier 10cpi" w:hAnsi="Courier 10cpi"/>
          <w:i/>
          <w:sz w:val="36"/>
          <w:lang w:val="en-CA"/>
        </w:rPr>
        <w:t>Loi</w:t>
      </w:r>
      <w:r>
        <w:rPr>
          <w:rFonts w:ascii="Courier 10cpi" w:hAnsi="Courier 10cpi"/>
          <w:sz w:val="36"/>
          <w:lang w:val="en-CA"/>
        </w:rPr>
        <w:t xml:space="preserve"> n'a pas d'incidence sur les restrictions à la construction imposées par un règlement municipal adopté en vertu de la </w:t>
      </w:r>
      <w:r>
        <w:rPr>
          <w:rFonts w:ascii="Courier 10cpi" w:hAnsi="Courier 10cpi"/>
          <w:i/>
          <w:sz w:val="36"/>
          <w:lang w:val="en-CA"/>
        </w:rPr>
        <w:t>Loi sur les municipalités</w:t>
      </w:r>
      <w:r>
        <w:rPr>
          <w:rFonts w:ascii="Courier 10cpi" w:hAnsi="Courier 10cpi"/>
          <w:sz w:val="36"/>
          <w:lang w:val="en-CA"/>
        </w:rPr>
        <w:t xml:space="preserve"> ou de la </w:t>
      </w:r>
      <w:r>
        <w:rPr>
          <w:rFonts w:ascii="Courier 10cpi" w:hAnsi="Courier 10cpi"/>
          <w:i/>
          <w:sz w:val="36"/>
          <w:lang w:val="en-CA"/>
        </w:rPr>
        <w:t>Loi sur l'aménagement du territoire</w:t>
      </w:r>
      <w:r>
        <w:rPr>
          <w:rFonts w:ascii="Courier 10cpi" w:hAnsi="Courier 10cpi"/>
          <w:sz w:val="36"/>
          <w:lang w:val="en-CA"/>
        </w:rPr>
        <w:t>.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 xml:space="preserve">Le juge qui entend une requête en vertu de la </w:t>
      </w:r>
      <w:r>
        <w:rPr>
          <w:rFonts w:ascii="Courier 10cpi" w:hAnsi="Courier 10cpi"/>
          <w:i/>
          <w:sz w:val="36"/>
          <w:lang w:val="en-CA"/>
        </w:rPr>
        <w:t>Loi sur les actes translatifs de propriété</w:t>
      </w:r>
      <w:r>
        <w:rPr>
          <w:rFonts w:ascii="Courier 10cpi" w:hAnsi="Courier 10cpi"/>
          <w:sz w:val="36"/>
          <w:lang w:val="en-CA"/>
        </w:rPr>
        <w:t xml:space="preserve"> doit faire signifier la requête à toutes les personnes qui lui semblent avoir un intérêt.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b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b/>
          <w:sz w:val="36"/>
          <w:lang w:val="en-CA"/>
        </w:rPr>
        <w:t>A. REQUÊTE EN VUE D'OBTENIR LE RETRAIT DE RESTRICTIONS</w:t>
      </w: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b/>
          <w:sz w:val="36"/>
          <w:lang w:val="en-CA"/>
        </w:rPr>
      </w:pPr>
      <w:r>
        <w:rPr>
          <w:rFonts w:ascii="Courier 10cpi" w:hAnsi="Courier 10cpi"/>
          <w:b/>
          <w:sz w:val="36"/>
          <w:lang w:val="en-CA"/>
        </w:rPr>
        <w:tab/>
        <w:t>À LA CONSTRUCTION</w:t>
      </w:r>
    </w:p>
    <w:p w:rsidR="00A22439" w:rsidRDefault="00A22439">
      <w:pPr>
        <w:widowControl w:val="0"/>
        <w:rPr>
          <w:rFonts w:ascii="Courier 10cpi" w:hAnsi="Courier 10cpi"/>
          <w:b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b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b/>
          <w:sz w:val="36"/>
          <w:lang w:val="en-CA"/>
        </w:rPr>
      </w:pPr>
      <w:r>
        <w:rPr>
          <w:rFonts w:ascii="Courier 10cpi" w:hAnsi="Courier 10cpi"/>
          <w:b/>
          <w:sz w:val="36"/>
          <w:lang w:val="en-CA"/>
        </w:rPr>
        <w:tab/>
        <w:t>[53:A:1]</w:t>
      </w:r>
    </w:p>
    <w:p w:rsidR="00A22439" w:rsidRDefault="00A22439">
      <w:pPr>
        <w:widowControl w:val="0"/>
        <w:rPr>
          <w:rFonts w:ascii="Courier 10cpi" w:hAnsi="Courier 10cpi"/>
          <w:b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b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b/>
          <w:sz w:val="36"/>
          <w:lang w:val="en-CA"/>
        </w:rPr>
        <w:tab/>
      </w:r>
      <w:r>
        <w:rPr>
          <w:rFonts w:ascii="Courier 10cpi" w:hAnsi="Courier 10cpi"/>
          <w:b/>
          <w:sz w:val="36"/>
          <w:u w:val="single"/>
          <w:lang w:val="en-CA"/>
        </w:rPr>
        <w:t>Avis de requête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right" w:pos="9359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[</w:t>
      </w:r>
      <w:r>
        <w:rPr>
          <w:rFonts w:ascii="Courier 10cpi" w:hAnsi="Courier 10cpi"/>
          <w:i/>
          <w:sz w:val="36"/>
          <w:lang w:val="en-CA"/>
        </w:rPr>
        <w:t>n</w:t>
      </w:r>
      <w:r>
        <w:rPr>
          <w:rFonts w:ascii="Courier 10cpi" w:hAnsi="Courier 10cpi"/>
          <w:i/>
          <w:sz w:val="36"/>
          <w:vertAlign w:val="superscript"/>
          <w:lang w:val="en-CA"/>
        </w:rPr>
        <w:t>o</w:t>
      </w:r>
      <w:r>
        <w:rPr>
          <w:rFonts w:ascii="Courier 10cpi" w:hAnsi="Courier 10cpi"/>
          <w:i/>
          <w:sz w:val="36"/>
          <w:lang w:val="en-CA"/>
        </w:rPr>
        <w:t xml:space="preserve"> du dossier de la cour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COUR DE L'ONTARIO (DIVISION GÉNÉRALE)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[</w:t>
      </w:r>
      <w:r>
        <w:rPr>
          <w:rFonts w:ascii="Courier 10cpi" w:hAnsi="Courier 10cpi"/>
          <w:i/>
          <w:sz w:val="36"/>
          <w:lang w:val="en-CA"/>
        </w:rPr>
        <w:t>intitulé de l'instance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>[</w:t>
      </w:r>
      <w:r>
        <w:rPr>
          <w:rFonts w:ascii="Courier 10cpi" w:hAnsi="Courier 10cpi"/>
          <w:i/>
          <w:sz w:val="36"/>
          <w:lang w:val="en-CA"/>
        </w:rPr>
        <w:t>sceau de la cour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REQUÊTE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i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[</w:t>
      </w:r>
      <w:r>
        <w:rPr>
          <w:rFonts w:ascii="Courier 10cpi" w:hAnsi="Courier 10cpi"/>
          <w:i/>
          <w:sz w:val="36"/>
          <w:lang w:val="en-CA"/>
        </w:rPr>
        <w:t>le texte formel précédant la requête</w:t>
      </w: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i/>
          <w:sz w:val="36"/>
          <w:lang w:val="en-CA"/>
        </w:rPr>
        <w:tab/>
        <w:t>figure au chapitre 5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>1.</w:t>
      </w:r>
      <w:r>
        <w:rPr>
          <w:rFonts w:ascii="Courier 10cpi" w:hAnsi="Courier 10cpi"/>
          <w:sz w:val="36"/>
          <w:lang w:val="en-CA"/>
        </w:rPr>
        <w:tab/>
        <w:t>Les objets de la requête sont les suivants :</w:t>
      </w: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a)</w:t>
      </w:r>
      <w:r>
        <w:rPr>
          <w:rFonts w:ascii="Courier 10cpi" w:hAnsi="Courier 10cpi"/>
          <w:sz w:val="36"/>
          <w:lang w:val="en-CA"/>
        </w:rPr>
        <w:tab/>
        <w:t>une ordonnance éteignant les covenants restrictifs contenus dans la cession de la propriété décrite à l'Annexe A, enregistrée sous le numéro [</w:t>
      </w:r>
      <w:r>
        <w:rPr>
          <w:rFonts w:ascii="Courier 10cpi" w:hAnsi="Courier 10cpi"/>
          <w:i/>
          <w:sz w:val="36"/>
          <w:lang w:val="en-CA"/>
        </w:rPr>
        <w:t>numéro</w:t>
      </w:r>
      <w:r>
        <w:rPr>
          <w:rFonts w:ascii="Courier 10cpi" w:hAnsi="Courier 10cpi"/>
          <w:sz w:val="36"/>
          <w:lang w:val="en-CA"/>
        </w:rPr>
        <w:t>] au bureau d'enregistrement des actes de la division d'enregistrement des actes du comté de ...;</w:t>
      </w: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b)</w:t>
      </w:r>
      <w:r>
        <w:rPr>
          <w:rFonts w:ascii="Courier 10cpi" w:hAnsi="Courier 10cpi"/>
          <w:sz w:val="36"/>
          <w:lang w:val="en-CA"/>
        </w:rPr>
        <w:tab/>
        <w:t>les dépens de la présente requête.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>2.</w:t>
      </w:r>
      <w:r>
        <w:rPr>
          <w:rFonts w:ascii="Courier 10cpi" w:hAnsi="Courier 10cpi"/>
          <w:sz w:val="36"/>
          <w:lang w:val="en-CA"/>
        </w:rPr>
        <w:tab/>
        <w:t>Les moyens à l'appui de la requête sont les suivants :</w:t>
      </w: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a)</w:t>
      </w:r>
      <w:r>
        <w:rPr>
          <w:rFonts w:ascii="Courier 10cpi" w:hAnsi="Courier 10cpi"/>
          <w:sz w:val="36"/>
          <w:lang w:val="en-CA"/>
        </w:rPr>
        <w:tab/>
        <w:t>la requérante est la propriétaire inscrite de la propriété décrite à l'Annexe A;</w:t>
      </w: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b)</w:t>
      </w:r>
      <w:r>
        <w:rPr>
          <w:rFonts w:ascii="Courier 10cpi" w:hAnsi="Courier 10cpi"/>
          <w:sz w:val="36"/>
          <w:lang w:val="en-CA"/>
        </w:rPr>
        <w:tab/>
        <w:t>la propriété de la requérante fait l'objet des covenants restrictifs suivants :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tabs>
          <w:tab w:val="center" w:pos="4680"/>
        </w:tabs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[</w:t>
      </w:r>
      <w:r>
        <w:rPr>
          <w:rFonts w:ascii="Courier 10cpi" w:hAnsi="Courier 10cpi"/>
          <w:i/>
          <w:sz w:val="36"/>
          <w:lang w:val="en-CA"/>
        </w:rPr>
        <w:t>énumérer les covenants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c)</w:t>
      </w:r>
      <w:r>
        <w:rPr>
          <w:rFonts w:ascii="Courier 10cpi" w:hAnsi="Courier 10cpi"/>
          <w:sz w:val="36"/>
          <w:lang w:val="en-CA"/>
        </w:rPr>
        <w:tab/>
        <w:t xml:space="preserve">la requérante invoque l'article 61 de la </w:t>
      </w:r>
      <w:r>
        <w:rPr>
          <w:rFonts w:ascii="Courier 10cpi" w:hAnsi="Courier 10cpi"/>
          <w:i/>
          <w:sz w:val="36"/>
          <w:lang w:val="en-CA"/>
        </w:rPr>
        <w:t>Loi sur les actes translatifs de propriété</w:t>
      </w:r>
      <w:r>
        <w:rPr>
          <w:rFonts w:ascii="Courier 10cpi" w:hAnsi="Courier 10cpi"/>
          <w:sz w:val="36"/>
          <w:lang w:val="en-CA"/>
        </w:rPr>
        <w:t xml:space="preserve">, </w:t>
      </w:r>
      <w:r>
        <w:rPr>
          <w:rFonts w:ascii="Courier 10cpi" w:hAnsi="Courier 10cpi"/>
          <w:color w:val="FF0000"/>
          <w:sz w:val="36"/>
          <w:lang w:val="en-CA"/>
        </w:rPr>
        <w:t>L.R.O. 1990, chap. C.34</w:t>
      </w:r>
      <w:r>
        <w:rPr>
          <w:rFonts w:ascii="Courier 10cpi" w:hAnsi="Courier 10cpi"/>
          <w:sz w:val="36"/>
          <w:lang w:val="en-CA"/>
        </w:rPr>
        <w:t>, ainsi que le paragraphe 14.05(2) des Règles de procédure civile.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>3.</w:t>
      </w:r>
      <w:r>
        <w:rPr>
          <w:rFonts w:ascii="Courier 10cpi" w:hAnsi="Courier 10cpi"/>
          <w:sz w:val="36"/>
          <w:lang w:val="en-CA"/>
        </w:rPr>
        <w:tab/>
        <w:t>La preuve documentaire suivante sera présentée lors de l'audition de la requête :</w:t>
      </w:r>
    </w:p>
    <w:p w:rsidR="00A22439" w:rsidRDefault="00A22439">
      <w:pPr>
        <w:widowControl w:val="0"/>
        <w:ind w:left="1440" w:hanging="144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  <w:t>1.</w:t>
      </w:r>
      <w:r>
        <w:rPr>
          <w:rFonts w:ascii="Courier 10cpi" w:hAnsi="Courier 10cpi"/>
          <w:sz w:val="36"/>
          <w:lang w:val="en-CA"/>
        </w:rPr>
        <w:tab/>
        <w:t>l'affidavit de [</w:t>
      </w:r>
      <w:r>
        <w:rPr>
          <w:rFonts w:ascii="Courier 10cpi" w:hAnsi="Courier 10cpi"/>
          <w:i/>
          <w:sz w:val="36"/>
          <w:lang w:val="en-CA"/>
        </w:rPr>
        <w:t>nom</w:t>
      </w:r>
      <w:r>
        <w:rPr>
          <w:rFonts w:ascii="Courier 10cpi" w:hAnsi="Courier 10cpi"/>
          <w:sz w:val="36"/>
          <w:lang w:val="en-CA"/>
        </w:rPr>
        <w:t>], fait le [</w:t>
      </w:r>
      <w:r>
        <w:rPr>
          <w:rFonts w:ascii="Courier 10cpi" w:hAnsi="Courier 10cpi"/>
          <w:i/>
          <w:sz w:val="36"/>
          <w:lang w:val="en-CA"/>
        </w:rPr>
        <w:t>date</w:t>
      </w:r>
      <w:r>
        <w:rPr>
          <w:rFonts w:ascii="Courier 10cpi" w:hAnsi="Courier 10cpi"/>
          <w:sz w:val="36"/>
          <w:lang w:val="en-CA"/>
        </w:rPr>
        <w:t>], et les pièces qui y sont jointes.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ind w:left="3600" w:hanging="360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>[</w:t>
      </w:r>
      <w:r>
        <w:rPr>
          <w:rFonts w:ascii="Courier 10cpi" w:hAnsi="Courier 10cpi"/>
          <w:i/>
          <w:sz w:val="36"/>
          <w:lang w:val="en-CA"/>
        </w:rPr>
        <w:t>date</w:t>
      </w:r>
      <w:r>
        <w:rPr>
          <w:rFonts w:ascii="Courier 10cpi" w:hAnsi="Courier 10cpi"/>
          <w:sz w:val="36"/>
          <w:lang w:val="en-CA"/>
        </w:rPr>
        <w:t>]</w:t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  <w:t>[</w:t>
      </w:r>
      <w:r>
        <w:rPr>
          <w:rFonts w:ascii="Courier 10cpi" w:hAnsi="Courier 10cpi"/>
          <w:i/>
          <w:sz w:val="36"/>
          <w:lang w:val="en-CA"/>
        </w:rPr>
        <w:t>nom, adresse et numéro de téléphone du cabinet des procureurs</w:t>
      </w:r>
      <w:r>
        <w:rPr>
          <w:rFonts w:ascii="Courier 10cpi" w:hAnsi="Courier 10cpi"/>
          <w:sz w:val="36"/>
          <w:lang w:val="en-CA"/>
        </w:rPr>
        <w:t>]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</w:r>
      <w:r>
        <w:rPr>
          <w:rFonts w:ascii="Courier 10cpi" w:hAnsi="Courier 10cpi"/>
          <w:sz w:val="36"/>
          <w:lang w:val="en-CA"/>
        </w:rPr>
        <w:tab/>
        <w:t>procureurs de la requérante</w:t>
      </w:r>
    </w:p>
    <w:p w:rsidR="00A22439" w:rsidRDefault="00A22439">
      <w:pPr>
        <w:widowControl w:val="0"/>
        <w:rPr>
          <w:rFonts w:ascii="Courier 10cpi" w:hAnsi="Courier 10cpi"/>
          <w:sz w:val="36"/>
          <w:lang w:val="en-CA"/>
        </w:rPr>
      </w:pPr>
    </w:p>
    <w:sectPr w:rsidR="00A22439" w:rsidSect="00A224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439"/>
    <w:rsid w:val="00A2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