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B8" w:rsidRDefault="001313B8">
      <w:pPr>
        <w:widowControl w:val="0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1313B8" w:rsidRDefault="001313B8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[56:E:4]</w:t>
      </w:r>
    </w:p>
    <w:p w:rsidR="001313B8" w:rsidRDefault="001313B8">
      <w:pPr>
        <w:widowControl w:val="0"/>
        <w:rPr>
          <w:rFonts w:ascii="Courier 10cpi" w:hAnsi="Courier 10cpi"/>
          <w:b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b/>
          <w:lang w:val="en-CA"/>
        </w:rPr>
      </w:pPr>
    </w:p>
    <w:p w:rsidR="001313B8" w:rsidRDefault="001313B8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Ordonnance définitive de vente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[Formule 64L]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>REMARQUE :</w:t>
      </w:r>
      <w:r>
        <w:rPr>
          <w:rFonts w:ascii="Courier 10cpi" w:hAnsi="Courier 10cpi"/>
          <w:lang w:val="en-CA"/>
        </w:rPr>
        <w:t xml:space="preserve"> La description du bien hypothéqué dans l'annexe jointe à l'ordonnance doit être la même que celle qui se trouve dans la déclaration.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ORDONNANCE DÉFINITIVE DE VENTE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MOTION du demandeur a été entendue aujourd'hui sans préavis à/au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>].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le jugement rendu dans la présente action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le rapport présenté dans la présente action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confirmé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avec la preuve de sa signification, le certificat de [</w:t>
      </w:r>
      <w:r>
        <w:rPr>
          <w:rFonts w:ascii="Courier 10cpi" w:hAnsi="Courier 10cpi"/>
          <w:i/>
          <w:lang w:val="en-CA"/>
        </w:rPr>
        <w:t>titre</w:t>
      </w:r>
      <w:r>
        <w:rPr>
          <w:rFonts w:ascii="Courier 10cpi" w:hAnsi="Courier 10cpi"/>
          <w:lang w:val="en-CA"/>
        </w:rPr>
        <w:t>] de [</w:t>
      </w:r>
      <w:r>
        <w:rPr>
          <w:rFonts w:ascii="Courier 10cpi" w:hAnsi="Courier 10cpi"/>
          <w:i/>
          <w:lang w:val="en-CA"/>
        </w:rPr>
        <w:t>établissement financier</w:t>
      </w:r>
      <w:r>
        <w:rPr>
          <w:rFonts w:ascii="Courier 10cpi" w:hAnsi="Courier 10cpi"/>
          <w:lang w:val="en-CA"/>
        </w:rPr>
        <w:t>] à/au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>], de même que l'affidavit du témoin à la signature et l'affidavit du demandeur, après avoir entendu les plaidoiries de l'avocat du demandeur, et attendu que le[s] défendeur[s] qui a [ont] un droit de rachat n'a [ont] pas racheté le bien hypothéqué,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IL EST ORDONNÉ que le bien hypothéqué décrit dans l'annexe ci-jointe soit vendu sans délai tel que l'ordonne le jugement rendu dans la présente action sous la direction du protonotaire [</w:t>
      </w:r>
      <w:r>
        <w:rPr>
          <w:rFonts w:ascii="Courier 10cpi" w:hAnsi="Courier 10cpi"/>
          <w:i/>
          <w:lang w:val="en-CA"/>
        </w:rPr>
        <w:t>ou la mention appropriée</w:t>
      </w:r>
      <w:r>
        <w:rPr>
          <w:rFonts w:ascii="Courier 10cpi" w:hAnsi="Courier 10cpi"/>
          <w:lang w:val="en-CA"/>
        </w:rPr>
        <w:t>] à/au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>].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Le cas échéant, ajouter :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IL EST ORDONNÉ que les défendeurs [</w:t>
      </w:r>
      <w:r>
        <w:rPr>
          <w:rFonts w:ascii="Courier 10cpi" w:hAnsi="Courier 10cpi"/>
          <w:i/>
          <w:lang w:val="en-CA"/>
        </w:rPr>
        <w:t>nom des titulaires postérieurs d'une sûreté qui n'ont pas établi le bien-fondé de leurs demandes lors du renvoi</w:t>
      </w:r>
      <w:r>
        <w:rPr>
          <w:rFonts w:ascii="Courier 10cpi" w:hAnsi="Courier 10cpi"/>
          <w:lang w:val="en-CA"/>
        </w:rPr>
        <w:t>] titulaires d'un droit de propriété et de rachat sur le bien hypothéqué décrit dans l'annexe ci-jointe, soient forclos d'exercer ces droits.]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p w:rsidR="001313B8" w:rsidRDefault="001313B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greffier local,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Cour de l'Ontario (Division générale)</w:t>
      </w:r>
    </w:p>
    <w:p w:rsidR="001313B8" w:rsidRDefault="001313B8">
      <w:pPr>
        <w:widowControl w:val="0"/>
        <w:rPr>
          <w:rFonts w:ascii="Courier 10cpi" w:hAnsi="Courier 10cpi"/>
          <w:lang w:val="en-CA"/>
        </w:rPr>
      </w:pPr>
    </w:p>
    <w:sectPr w:rsidR="001313B8" w:rsidSect="001313B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3B8"/>
    <w:rsid w:val="0013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