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87" w:rsidRDefault="00266687">
      <w:pPr>
        <w:widowControl w:val="0"/>
        <w:tabs>
          <w:tab w:val="center" w:pos="4680"/>
        </w:tabs>
        <w:spacing w:line="240" w:lineRule="exact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b/>
          <w:lang w:val="en-CA"/>
        </w:rPr>
        <w:tab/>
        <w:t>[69:E:5]</w:t>
      </w:r>
    </w:p>
    <w:p w:rsidR="00266687" w:rsidRDefault="00266687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266687" w:rsidRDefault="00266687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266687" w:rsidRDefault="0026668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Ordonnance : variante</w:t>
      </w: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66687" w:rsidRDefault="00266687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66687" w:rsidRDefault="0026668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66687" w:rsidRDefault="0026668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66687" w:rsidRDefault="0026668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ORDONNANCE</w:t>
      </w: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MOTION, qui a été présentée par le défendeur en vue d'obtenir l'annulation de la convocation du jury remise dans la présente action, a été entendue aujourd'hui, à/au [</w:t>
      </w:r>
      <w:r>
        <w:rPr>
          <w:rFonts w:ascii="Courier 10cpi" w:hAnsi="Courier 10cpi"/>
          <w:i/>
          <w:lang w:val="en-CA"/>
        </w:rPr>
        <w:t>adresse du palais de justice</w:t>
      </w:r>
      <w:r>
        <w:rPr>
          <w:rFonts w:ascii="Courier 10cpi" w:hAnsi="Courier 10cpi"/>
          <w:lang w:val="en-CA"/>
        </w:rPr>
        <w:t>].</w:t>
      </w: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 xml:space="preserve">  </w:t>
      </w:r>
      <w:r>
        <w:rPr>
          <w:rFonts w:ascii="Courier 10cpi" w:hAnsi="Courier 10cpi"/>
          <w:lang w:val="en-CA"/>
        </w:rPr>
        <w:tab/>
        <w:t>APRÈS AVOIR LU la déclaration et la défense, 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fait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déposé, ainsi que les pièces jointes à cet affidavit, et après avoir entendu les plaidoiries des avocats du demandeur et du défendeur,</w:t>
      </w: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ORDONNE que les questions de faits de la présente action soient instruites sans jury.</w:t>
      </w: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TRIBUNAL ORDONNE que les dépens de la présente motion suivent les dépens de l'instance.</w:t>
      </w:r>
    </w:p>
    <w:p w:rsidR="00266687" w:rsidRDefault="0026668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66687" w:rsidRDefault="00266687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greffier local,</w:t>
      </w:r>
    </w:p>
    <w:p w:rsidR="00266687" w:rsidRDefault="00266687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sectPr w:rsidR="00266687" w:rsidSect="0026668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687"/>
    <w:rsid w:val="0026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