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6C" w:rsidRDefault="00B3426C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E. OBTENTION DE L'INTERROGATOIRE PAR VOIE DE MOTION LORSQUE</w:t>
      </w: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b/>
          <w:lang w:val="en-CA"/>
        </w:rPr>
        <w:tab/>
        <w:t>L'INSTANCE PORTANT SUR LA LIQUIDATION EST EN COURS</w:t>
      </w:r>
    </w:p>
    <w:p w:rsidR="00B3426C" w:rsidRDefault="00B3426C">
      <w:pPr>
        <w:widowControl w:val="0"/>
        <w:rPr>
          <w:rFonts w:ascii="Courier 10cpi" w:hAnsi="Courier 10cpi"/>
          <w:b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b/>
          <w:lang w:val="en-CA"/>
        </w:rPr>
      </w:pP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b/>
          <w:lang w:val="en-CA"/>
        </w:rPr>
        <w:tab/>
        <w:t>[61:E:1]</w:t>
      </w:r>
    </w:p>
    <w:p w:rsidR="00B3426C" w:rsidRDefault="00B3426C">
      <w:pPr>
        <w:widowControl w:val="0"/>
        <w:rPr>
          <w:rFonts w:ascii="Courier 10cpi" w:hAnsi="Courier 10cpi"/>
          <w:b/>
          <w:lang w:val="en-CA"/>
        </w:rPr>
      </w:pP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motion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MOTION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présentera une motion à un juge 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à [</w:t>
      </w:r>
      <w:r>
        <w:rPr>
          <w:rFonts w:ascii="Courier 10cpi" w:hAnsi="Courier 10cpi"/>
          <w:i/>
          <w:lang w:val="en-CA"/>
        </w:rPr>
        <w:t>heure</w:t>
      </w:r>
      <w:r>
        <w:rPr>
          <w:rFonts w:ascii="Courier 10cpi" w:hAnsi="Courier 10cpi"/>
          <w:lang w:val="en-CA"/>
        </w:rPr>
        <w:t>] ou dès que possible par la suite,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ab/>
        <w:t>TYPE D'AUDIENCE PROPOSÉ : Je propose que la motion soit entendue [</w:t>
      </w:r>
      <w:r>
        <w:rPr>
          <w:rFonts w:ascii="Courier 10cpi" w:hAnsi="Courier 10cpi"/>
          <w:i/>
          <w:color w:val="FF0000"/>
          <w:lang w:val="en-CA"/>
        </w:rPr>
        <w:t>cocher la case appropriée</w:t>
      </w:r>
      <w:r>
        <w:rPr>
          <w:rFonts w:ascii="Courier 10cpi" w:hAnsi="Courier 10cpi"/>
          <w:color w:val="FF0000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color w:val="FF0000"/>
          <w:lang w:val="en-CA"/>
        </w:rPr>
      </w:pPr>
    </w:p>
    <w:p w:rsidR="00B3426C" w:rsidRDefault="00B3426C">
      <w:pPr>
        <w:widowControl w:val="0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sur pièces en vertu du paragraphe 37.12.1(1), parce qu'elle (</w:t>
      </w:r>
      <w:r>
        <w:rPr>
          <w:rFonts w:ascii="Courier 10cpi" w:hAnsi="Courier 10cpi"/>
          <w:i/>
          <w:color w:val="FF0000"/>
          <w:lang w:val="en-CA"/>
        </w:rPr>
        <w:t>rayer la mention inutile</w:t>
      </w:r>
      <w:r>
        <w:rPr>
          <w:rFonts w:ascii="Courier 10cpi" w:hAnsi="Courier 10cpi"/>
          <w:color w:val="FF0000"/>
          <w:lang w:val="en-CA"/>
        </w:rPr>
        <w:t xml:space="preserve"> est présentée sur consentement, n'est pas contestée, présentée sans préavis);</w:t>
      </w:r>
    </w:p>
    <w:p w:rsidR="00B3426C" w:rsidRDefault="00B3426C">
      <w:pPr>
        <w:widowControl w:val="0"/>
        <w:rPr>
          <w:rFonts w:ascii="Courier 10cpi" w:hAnsi="Courier 10cpi"/>
          <w:color w:val="FF0000"/>
          <w:lang w:val="en-CA"/>
        </w:rPr>
      </w:pPr>
    </w:p>
    <w:p w:rsidR="00B3426C" w:rsidRDefault="00B3426C">
      <w:pPr>
        <w:widowControl w:val="0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sur pièces sous forme d'une motion contestée en vertu du paragraphe 37.12.1(4);</w:t>
      </w:r>
    </w:p>
    <w:p w:rsidR="00B3426C" w:rsidRDefault="00B3426C">
      <w:pPr>
        <w:widowControl w:val="0"/>
        <w:rPr>
          <w:rFonts w:ascii="Courier 10cpi" w:hAnsi="Courier 10cpi"/>
          <w:color w:val="FF0000"/>
          <w:lang w:val="en-CA"/>
        </w:rPr>
      </w:pPr>
    </w:p>
    <w:p w:rsidR="00B3426C" w:rsidRDefault="00B3426C">
      <w:pPr>
        <w:widowControl w:val="0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oralement.</w:t>
      </w:r>
    </w:p>
    <w:p w:rsidR="00B3426C" w:rsidRDefault="00B3426C">
      <w:pPr>
        <w:widowControl w:val="0"/>
        <w:rPr>
          <w:rFonts w:ascii="Courier 10cpi" w:hAnsi="Courier 10cpi"/>
          <w:color w:val="FF0000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L'OBJET DE LA MOTION EST LE SUIVANT : une ordonnance en autorisation d'interroger l'ex-dirigeant et ex-administrateur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 xml:space="preserve">], concernant les opérations, les activités et les biens de cette dernière. 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LES MOYENS À L'APPUI DE LA MOTION SONT LES SUIVANTS :</w:t>
      </w: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1.</w:t>
      </w:r>
      <w:r>
        <w:rPr>
          <w:rFonts w:ascii="Courier 10cpi" w:hAnsi="Courier 10cpi"/>
          <w:lang w:val="en-CA"/>
        </w:rPr>
        <w:tab/>
        <w:t>après le décès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le président et un des principaux actionnaires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Limitée, des employés de celle-ci ont pris des dispositions pour que des dossiers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soient transférés à une autre agence de publicité;</w:t>
      </w: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2.</w:t>
      </w:r>
      <w:r>
        <w:rPr>
          <w:rFonts w:ascii="Courier 10cpi" w:hAnsi="Courier 10cpi"/>
          <w:lang w:val="en-CA"/>
        </w:rPr>
        <w:tab/>
        <w:t>à la suite de ces démarches, certains clients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ont payé des comptes dus à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à l'autre agence de publicité et certains messages publicitaires reliés à ces comptes ont été facturés à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par les médias;</w:t>
      </w: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3.</w:t>
      </w:r>
      <w:r>
        <w:rPr>
          <w:rFonts w:ascii="Courier 10cpi" w:hAnsi="Courier 10cpi"/>
          <w:lang w:val="en-CA"/>
        </w:rPr>
        <w:tab/>
        <w:t>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a reçu une cotisation de taxe de vente alors que, du moins en partie, les montants impayés semblent reliés à des comptes perçus par l'autre agence de publicité;</w:t>
      </w: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4.</w:t>
      </w:r>
      <w:r>
        <w:rPr>
          <w:rFonts w:ascii="Courier 10cpi" w:hAnsi="Courier 10cpi"/>
          <w:lang w:val="en-CA"/>
        </w:rPr>
        <w:tab/>
        <w:t>il y a de bonnes raisons de croire que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qui est un ex-dirigeant et ex-administrateur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Limitée, possède des renseignements pertinents concernant les comptes et les factures de la société;</w:t>
      </w: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5.</w:t>
      </w:r>
      <w:r>
        <w:rPr>
          <w:rFonts w:ascii="Courier 10cpi" w:hAnsi="Courier 10cpi"/>
          <w:lang w:val="en-CA"/>
        </w:rPr>
        <w:tab/>
        <w:t xml:space="preserve">l'auteur de la motion se fonde sur </w:t>
      </w:r>
      <w:r>
        <w:rPr>
          <w:rFonts w:ascii="Courier 10cpi" w:hAnsi="Courier 10cpi"/>
          <w:color w:val="FF0000"/>
          <w:lang w:val="en-CA"/>
        </w:rPr>
        <w:t>le paragraphe</w:t>
      </w:r>
      <w:r>
        <w:rPr>
          <w:rFonts w:ascii="Courier 10cpi" w:hAnsi="Courier 10cpi"/>
          <w:lang w:val="en-CA"/>
        </w:rPr>
        <w:t xml:space="preserve"> </w:t>
      </w:r>
      <w:r>
        <w:rPr>
          <w:rFonts w:ascii="Courier 10cpi" w:hAnsi="Courier 10cpi"/>
          <w:color w:val="FF0000"/>
          <w:lang w:val="en-CA"/>
        </w:rPr>
        <w:t xml:space="preserve">230(1) </w:t>
      </w:r>
      <w:r>
        <w:rPr>
          <w:rFonts w:ascii="Courier 10cpi" w:hAnsi="Courier 10cpi"/>
          <w:lang w:val="en-CA"/>
        </w:rPr>
        <w:t xml:space="preserve">de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 xml:space="preserve">, </w:t>
      </w:r>
      <w:r>
        <w:rPr>
          <w:rFonts w:ascii="Courier 10cpi" w:hAnsi="Courier 10cpi"/>
          <w:color w:val="FF0000"/>
          <w:lang w:val="en-CA"/>
        </w:rPr>
        <w:t>L.R.O. 1990, chap. B.16</w:t>
      </w:r>
      <w:r>
        <w:rPr>
          <w:rFonts w:ascii="Courier 10cpi" w:hAnsi="Courier 10cpi"/>
          <w:lang w:val="en-CA"/>
        </w:rPr>
        <w:t xml:space="preserve">, ainsi que sur le paragraphe 14.05(2) </w:t>
      </w:r>
      <w:r>
        <w:rPr>
          <w:rFonts w:ascii="Courier 10cpi" w:hAnsi="Courier 10cpi"/>
          <w:color w:val="FF0000"/>
          <w:lang w:val="en-CA"/>
        </w:rPr>
        <w:t xml:space="preserve">et l'alinéa 14.05(3)h) </w:t>
      </w:r>
      <w:r>
        <w:rPr>
          <w:rFonts w:ascii="Courier 10cpi" w:hAnsi="Courier 10cpi"/>
          <w:lang w:val="en-CA"/>
        </w:rPr>
        <w:t>des Règles de procédure civile.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PREUVE DOCUMENTAIRE SUIVANTE sera utilisée lors de l'audition de la motion :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1.</w:t>
      </w:r>
      <w:r>
        <w:rPr>
          <w:rFonts w:ascii="Courier 10cpi" w:hAnsi="Courier 10cpi"/>
          <w:lang w:val="en-CA"/>
        </w:rPr>
        <w:tab/>
        <w:t>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les pièces qui y sont jointes.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ind w:left="2160" w:hanging="216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du cabinet des procureurs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procureurs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 :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du cabinet des procureurs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p w:rsidR="00B3426C" w:rsidRDefault="00B3426C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procureurs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B3426C" w:rsidRDefault="00B3426C">
      <w:pPr>
        <w:widowControl w:val="0"/>
        <w:rPr>
          <w:rFonts w:ascii="Courier 10cpi" w:hAnsi="Courier 10cpi"/>
          <w:lang w:val="en-CA"/>
        </w:rPr>
      </w:pPr>
    </w:p>
    <w:sectPr w:rsidR="00B3426C" w:rsidSect="00B342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6C"/>
    <w:rsid w:val="00B3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