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50" w:rsidRDefault="00195650">
      <w:pPr>
        <w:widowControl w:val="0"/>
        <w:tabs>
          <w:tab w:val="center" w:pos="4680"/>
        </w:tabs>
        <w:spacing w:line="240" w:lineRule="exact"/>
        <w:jc w:val="both"/>
        <w:rPr>
          <w:rFonts w:ascii="Courier 10cpi" w:hAnsi="Courier 10cpi"/>
          <w:b/>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F. MOTION EN ANNULATION DE LA CONVOCATION DU JURY :</w:t>
      </w:r>
    </w:p>
    <w:p w:rsidR="00195650" w:rsidRDefault="00195650">
      <w:pPr>
        <w:widowControl w:val="0"/>
        <w:tabs>
          <w:tab w:val="center" w:pos="4680"/>
        </w:tabs>
        <w:spacing w:line="240" w:lineRule="exact"/>
        <w:rPr>
          <w:rFonts w:ascii="Courier 10cpi" w:hAnsi="Courier 10cpi"/>
          <w:lang w:val="en-CA"/>
        </w:rPr>
      </w:pPr>
      <w:r>
        <w:rPr>
          <w:rFonts w:ascii="Courier 10cpi" w:hAnsi="Courier 10cpi"/>
          <w:b/>
          <w:lang w:val="en-CA"/>
        </w:rPr>
        <w:tab/>
        <w:t>COMPLEXITÉ DES QUESTIONS DE DROIT ET DE FAITS</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b/>
          <w:lang w:val="en-CA"/>
        </w:rPr>
        <w:t>REMARQUE :</w:t>
      </w:r>
      <w:r>
        <w:rPr>
          <w:rFonts w:ascii="Courier 10cpi" w:hAnsi="Courier 10cpi"/>
          <w:lang w:val="en-CA"/>
        </w:rPr>
        <w:t xml:space="preserve"> Le principe en la matière est que la convocation du jury doit être annulée si les questions de faits et de droit en litige sont si complexes et difficiles qu'il deviendrait extrêmement difficile, voire impossible, au juge du procès d'instruire correctement le jury: </w:t>
      </w:r>
      <w:r>
        <w:rPr>
          <w:rFonts w:ascii="Courier 10cpi" w:hAnsi="Courier 10cpi"/>
          <w:i/>
          <w:lang w:val="en-CA"/>
        </w:rPr>
        <w:t>Damien v. O'Mulvenny</w:t>
      </w:r>
      <w:r>
        <w:rPr>
          <w:rFonts w:ascii="Courier 10cpi" w:hAnsi="Courier 10cpi"/>
          <w:lang w:val="en-CA"/>
        </w:rPr>
        <w:t xml:space="preserve"> (1981), 34 O.R. (2d) 448 (H.C.). Dans l'affaire </w:t>
      </w:r>
      <w:r>
        <w:rPr>
          <w:rFonts w:ascii="Courier 10cpi" w:hAnsi="Courier 10cpi"/>
          <w:i/>
          <w:lang w:val="en-CA"/>
        </w:rPr>
        <w:t>Soldwisch v. Toronto Western Hospital</w:t>
      </w:r>
      <w:r>
        <w:rPr>
          <w:rFonts w:ascii="Courier 10cpi" w:hAnsi="Courier 10cpi"/>
          <w:lang w:val="en-CA"/>
        </w:rPr>
        <w:t xml:space="preserve"> (1983), 43 O.R. (2d) 449, à la p. 458, 38 C.P.C. 309 (C. div.), le tribunal statue que «[TRADUCTION] si, après examen de tous les documents, le juge n'est pas convaincu que l'action en cours est de celles qui doivent être instruites sans jury, le requérant ne s'est pas acquitté du fardeau qui lui incombe, et il doit être débouté».</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 xml:space="preserve">Les questions de droit complexes s'accompagnent généralement de questions de faits complexes. Ainsi la contestation du droit à un procès sans jury se fonde-t-elle habituellement sur la complexité des questions de faits comme des questions de droit. La complexité des questions de droit peut cependant, à elle seule, être un motif d'annulation de la convocation du jury. Dans l'affaire </w:t>
      </w:r>
      <w:r>
        <w:rPr>
          <w:rFonts w:ascii="Courier 10cpi" w:hAnsi="Courier 10cpi"/>
          <w:i/>
          <w:lang w:val="en-CA"/>
        </w:rPr>
        <w:t>Fulton v. Town of Fort Erie</w:t>
      </w:r>
      <w:r>
        <w:rPr>
          <w:rFonts w:ascii="Courier 10cpi" w:hAnsi="Courier 10cpi"/>
          <w:lang w:val="en-CA"/>
        </w:rPr>
        <w:t xml:space="preserve"> (1982), 40 O.R. (2d) 235, 31 C.P.C. 47 (H.C.), le tribunal a statué que, même si le droit à un procès devant jury est un droit fondamental de grande importance qu'on ne doit écarter que pour des raisons impérieuses, les questions de droit à trancher étaient très épineuses et rendaient un procès devant jury inapproprié.</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Les motions en annulation de la convocation du jury dans les actions en responsabilité médicale tendent à devenir de plus en plus fréquentes. Elles ont été fréquemment rejetées au cours des dernières années. Voir la remarque qui précède le modèle 69:E:1.</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center" w:pos="4680"/>
        </w:tabs>
        <w:spacing w:line="240" w:lineRule="exact"/>
        <w:rPr>
          <w:rFonts w:ascii="Courier 10cpi" w:hAnsi="Courier 10cpi"/>
          <w:lang w:val="en-CA"/>
        </w:rPr>
      </w:pPr>
      <w:r>
        <w:rPr>
          <w:rFonts w:ascii="Courier 10cpi" w:hAnsi="Courier 10cpi"/>
          <w:lang w:val="en-CA"/>
        </w:rPr>
        <w:tab/>
      </w:r>
      <w:r>
        <w:rPr>
          <w:rFonts w:ascii="Courier 10cpi" w:hAnsi="Courier 10cpi"/>
          <w:b/>
          <w:lang w:val="en-CA"/>
        </w:rPr>
        <w:t>[69:F:1]</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b/>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b/>
          <w:lang w:val="en-CA"/>
        </w:rPr>
      </w:pPr>
    </w:p>
    <w:p w:rsidR="00195650" w:rsidRDefault="00195650">
      <w:pPr>
        <w:widowControl w:val="0"/>
        <w:tabs>
          <w:tab w:val="center" w:pos="4680"/>
        </w:tabs>
        <w:spacing w:line="240" w:lineRule="exact"/>
        <w:rPr>
          <w:rFonts w:ascii="Courier 10cpi" w:hAnsi="Courier 10cpi"/>
          <w:b/>
          <w:lang w:val="en-CA"/>
        </w:rPr>
      </w:pPr>
      <w:r>
        <w:rPr>
          <w:rFonts w:ascii="Courier 10cpi" w:hAnsi="Courier 10cpi"/>
          <w:b/>
          <w:lang w:val="en-CA"/>
        </w:rPr>
        <w:tab/>
      </w:r>
      <w:r>
        <w:rPr>
          <w:rFonts w:ascii="Courier 10cpi" w:hAnsi="Courier 10cpi"/>
          <w:b/>
          <w:u w:val="single"/>
          <w:lang w:val="en-CA"/>
        </w:rPr>
        <w:t>Avis de motion</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center" w:pos="4680"/>
        </w:tabs>
        <w:spacing w:line="240" w:lineRule="exact"/>
        <w:rPr>
          <w:rFonts w:ascii="Courier 10cpi" w:hAnsi="Courier 10cpi"/>
          <w:lang w:val="en-CA"/>
        </w:rPr>
      </w:pPr>
      <w:r>
        <w:rPr>
          <w:rFonts w:ascii="Courier 10cpi" w:hAnsi="Courier 10cpi"/>
          <w:lang w:val="en-CA"/>
        </w:rPr>
        <w:tab/>
        <w:t>COUR DE L'ONTARIO (DIVISION GÉNÉRALE)</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center" w:pos="4680"/>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center" w:pos="4680"/>
        </w:tabs>
        <w:spacing w:line="240" w:lineRule="exact"/>
        <w:rPr>
          <w:rFonts w:ascii="Courier 10cpi" w:hAnsi="Courier 10cpi"/>
          <w:lang w:val="en-CA"/>
        </w:rPr>
      </w:pPr>
      <w:r>
        <w:rPr>
          <w:rFonts w:ascii="Courier 10cpi" w:hAnsi="Courier 10cpi"/>
          <w:lang w:val="en-CA"/>
        </w:rPr>
        <w:tab/>
        <w:t>AVIS DE MOTION</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Le défendeur présentera une motion à un juge, 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 à [</w:t>
      </w:r>
      <w:r>
        <w:rPr>
          <w:rFonts w:ascii="Courier 10cpi" w:hAnsi="Courier 10cpi"/>
          <w:i/>
          <w:lang w:val="en-CA"/>
        </w:rPr>
        <w:t>heure</w:t>
      </w:r>
      <w:r>
        <w:rPr>
          <w:rFonts w:ascii="Courier 10cpi" w:hAnsi="Courier 10cpi"/>
          <w:lang w:val="en-CA"/>
        </w:rPr>
        <w:t>], ou dès que possible par la suite, à/au [</w:t>
      </w:r>
      <w:r>
        <w:rPr>
          <w:rFonts w:ascii="Courier 10cpi" w:hAnsi="Courier 10cpi"/>
          <w:i/>
          <w:lang w:val="en-CA"/>
        </w:rPr>
        <w:t>adresse du palais de justice</w:t>
      </w:r>
      <w:r>
        <w:rPr>
          <w:rFonts w:ascii="Courier 10cpi" w:hAnsi="Courier 10cpi"/>
          <w:lang w:val="en-CA"/>
        </w:rPr>
        <w:t>].</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color w:val="FF0000"/>
          <w:lang w:val="en-CA"/>
        </w:rPr>
      </w:pPr>
      <w:r>
        <w:rPr>
          <w:rFonts w:ascii="Courier 10cpi" w:hAnsi="Courier 10cpi"/>
          <w:color w:val="FF0000"/>
          <w:lang w:val="en-CA"/>
        </w:rPr>
        <w:tab/>
        <w:t>TYPE D'AUDIENCE PROPOSÉ : Je propose que la motion soit entendue [</w:t>
      </w:r>
      <w:r>
        <w:rPr>
          <w:rFonts w:ascii="Courier 10cpi" w:hAnsi="Courier 10cpi"/>
          <w:i/>
          <w:color w:val="FF0000"/>
          <w:lang w:val="en-CA"/>
        </w:rPr>
        <w:t>cocher la case appropriée</w:t>
      </w:r>
      <w:r>
        <w:rPr>
          <w:rFonts w:ascii="Courier 10cpi" w:hAnsi="Courier 10cpi"/>
          <w:color w:val="FF0000"/>
          <w:lang w:val="en-CA"/>
        </w:rPr>
        <w:t>]</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color w:val="FF0000"/>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en vertu du paragraphe 37.12.1(1), parce qu'elle (</w:t>
      </w:r>
      <w:r>
        <w:rPr>
          <w:rFonts w:ascii="Courier 10cpi" w:hAnsi="Courier 10cpi"/>
          <w:i/>
          <w:color w:val="FF0000"/>
          <w:lang w:val="en-CA"/>
        </w:rPr>
        <w:t>rayer la mention inutile</w:t>
      </w:r>
      <w:r>
        <w:rPr>
          <w:rFonts w:ascii="Courier 10cpi" w:hAnsi="Courier 10cpi"/>
          <w:color w:val="FF0000"/>
          <w:lang w:val="en-CA"/>
        </w:rPr>
        <w:t xml:space="preserve"> est présentée sur consentement, n'est pas contestée, présentée sur préavis);</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color w:val="FF0000"/>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sous forme d'une motion contestée en vertu du paragraphe 37.12.1(4)</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color w:val="FF0000"/>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oralement</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color w:val="FF0000"/>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L'OBJET DE LA MOTION EST LE SUIVANT : une ordonnance annulant la convocation du jury remise par le demandeur dans la présente action.</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LES MOYENS A L'APPUI DE LA MOTION SONT LES SUIVANTS :</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1.</w:t>
      </w:r>
      <w:r>
        <w:rPr>
          <w:rFonts w:ascii="Courier 10cpi" w:hAnsi="Courier 10cpi"/>
          <w:lang w:val="en-CA"/>
        </w:rPr>
        <w:tab/>
        <w:t>la présente action est de celles qui doivent être instruites sans jury;</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2.</w:t>
      </w:r>
      <w:r>
        <w:rPr>
          <w:rFonts w:ascii="Courier 10cpi" w:hAnsi="Courier 10cpi"/>
          <w:lang w:val="en-CA"/>
        </w:rPr>
        <w:tab/>
        <w:t>la présente action soulève des questions de droit et de faits complexes qui ne doivent pas être instruites par un jury;</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3.</w:t>
      </w:r>
      <w:r>
        <w:rPr>
          <w:rFonts w:ascii="Courier 10cpi" w:hAnsi="Courier 10cpi"/>
          <w:lang w:val="en-CA"/>
        </w:rPr>
        <w:tab/>
        <w:t>le défendeur invoque le paragraphe 47.02(2) des Règles de procédure civile.</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LA PREUVE DOCUMENTAIRE SUIVANTE sera utilisée à l'audition de la motion :</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ind w:left="1440" w:hanging="1440"/>
        <w:rPr>
          <w:rFonts w:ascii="Courier 10cpi" w:hAnsi="Courier 10cpi"/>
          <w:lang w:val="en-CA"/>
        </w:rPr>
      </w:pPr>
      <w:r>
        <w:rPr>
          <w:rFonts w:ascii="Courier 10cpi" w:hAnsi="Courier 10cpi"/>
          <w:lang w:val="en-CA"/>
        </w:rPr>
        <w:tab/>
        <w:t>1.</w:t>
      </w:r>
      <w:r>
        <w:rPr>
          <w:rFonts w:ascii="Courier 10cpi" w:hAnsi="Courier 10cpi"/>
          <w:lang w:val="en-CA"/>
        </w:rPr>
        <w:tab/>
        <w:t>l'affidavit de [</w:t>
      </w:r>
      <w:r>
        <w:rPr>
          <w:rFonts w:ascii="Courier 10cpi" w:hAnsi="Courier 10cpi"/>
          <w:i/>
          <w:lang w:val="en-CA"/>
        </w:rPr>
        <w:t>nom</w:t>
      </w:r>
      <w:r>
        <w:rPr>
          <w:rFonts w:ascii="Courier 10cpi" w:hAnsi="Courier 10cpi"/>
          <w:lang w:val="en-CA"/>
        </w:rPr>
        <w:t>] fait le [</w:t>
      </w:r>
      <w:r>
        <w:rPr>
          <w:rFonts w:ascii="Courier 10cpi" w:hAnsi="Courier 10cpi"/>
          <w:i/>
          <w:lang w:val="en-CA"/>
        </w:rPr>
        <w:t>date</w:t>
      </w:r>
      <w:r>
        <w:rPr>
          <w:rFonts w:ascii="Courier 10cpi" w:hAnsi="Courier 10cpi"/>
          <w:lang w:val="en-CA"/>
        </w:rPr>
        <w:t>] et les pièces jointes à cet affidavit.</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ind w:left="4320" w:hanging="432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t>[</w:t>
      </w:r>
      <w:r>
        <w:rPr>
          <w:rFonts w:ascii="Courier 10cpi" w:hAnsi="Courier 10cpi"/>
          <w:i/>
          <w:lang w:val="en-CA"/>
        </w:rPr>
        <w:t>nom, adresse et numéro de téléphone des procureurs</w:t>
      </w:r>
      <w:r>
        <w:rPr>
          <w:rFonts w:ascii="Courier 10cpi" w:hAnsi="Courier 10cpi"/>
          <w:lang w:val="en-CA"/>
        </w:rPr>
        <w:t>]</w:t>
      </w:r>
    </w:p>
    <w:p w:rsidR="00195650" w:rsidRDefault="00195650">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t>procureurs du défendeur</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DESTINATAIRES :</w:t>
      </w:r>
      <w:r>
        <w:rPr>
          <w:rFonts w:ascii="Courier 10cpi" w:hAnsi="Courier 10cpi"/>
          <w:lang w:val="en-CA"/>
        </w:rPr>
        <w:tab/>
        <w:t>[</w:t>
      </w:r>
      <w:r>
        <w:rPr>
          <w:rFonts w:ascii="Courier 10cpi" w:hAnsi="Courier 10cpi"/>
          <w:i/>
          <w:lang w:val="en-CA"/>
        </w:rPr>
        <w:t>nom et adresse des procureurs</w:t>
      </w:r>
      <w:r>
        <w:rPr>
          <w:rFonts w:ascii="Courier 10cpi" w:hAnsi="Courier 10cpi"/>
          <w:lang w:val="en-CA"/>
        </w:rPr>
        <w:t>]</w:t>
      </w: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p>
    <w:p w:rsidR="00195650" w:rsidRDefault="001956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exact"/>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du demandeur</w:t>
      </w:r>
    </w:p>
    <w:sectPr w:rsidR="00195650" w:rsidSect="0019565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650"/>
    <w:rsid w:val="0019565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1">
    <w:name w:val="1"/>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