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FF" w:rsidRDefault="00AB6AFF">
      <w:pPr>
        <w:widowControl w:val="0"/>
        <w:tabs>
          <w:tab w:val="center" w:pos="4680"/>
        </w:tabs>
        <w:jc w:val="both"/>
        <w:rPr>
          <w:rFonts w:ascii="Courier 10cpi" w:hAnsi="Courier 10cpi"/>
          <w:color w:val="FF0000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color w:val="FF0000"/>
          <w:lang w:val="en-CA"/>
        </w:rPr>
        <w:t>D. REQUÊTE EN VUE DE FAIRE TRANSFÉRER LA LIQUIDATION À UN JUGE</w:t>
      </w: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b/>
          <w:color w:val="FF0000"/>
          <w:lang w:val="en-CA"/>
        </w:rPr>
        <w:t>REMARQUE :</w:t>
      </w:r>
      <w:r>
        <w:rPr>
          <w:rFonts w:ascii="Courier 10cpi" w:hAnsi="Courier 10cpi"/>
          <w:color w:val="FF0000"/>
          <w:lang w:val="en-CA"/>
        </w:rPr>
        <w:t xml:space="preserve"> Lorsqu'une liquidation a été obtenue par voie de réquisition, et que le client allègue que le procureur a fait preuve d'incompétence ou de négligence ou a commis une fraude dans la prestation des services visés par la liquidation, le procureur peut présenter une requête pour faire transférer la liquidation à un juge : </w:t>
      </w:r>
      <w:r>
        <w:rPr>
          <w:rFonts w:ascii="Courier 10cpi" w:hAnsi="Courier 10cpi"/>
          <w:i/>
          <w:color w:val="FF0000"/>
          <w:lang w:val="en-CA"/>
        </w:rPr>
        <w:t>Woods, Lapalme, Parisien et Michaud v. Chamberland</w:t>
      </w:r>
      <w:r>
        <w:rPr>
          <w:rFonts w:ascii="Courier 10cpi" w:hAnsi="Courier 10cpi"/>
          <w:color w:val="FF0000"/>
          <w:lang w:val="en-CA"/>
        </w:rPr>
        <w:t xml:space="preserve">, (1991) 6 O.R. (3d) 419 (Div. gén.). </w:t>
      </w: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tabs>
          <w:tab w:val="center" w:pos="4680"/>
        </w:tabs>
        <w:rPr>
          <w:rFonts w:ascii="Courier 10cpi" w:hAnsi="Courier 10cpi"/>
          <w:b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b/>
          <w:color w:val="FF0000"/>
          <w:lang w:val="en-CA"/>
        </w:rPr>
        <w:t>[79:D:1]</w:t>
      </w:r>
    </w:p>
    <w:p w:rsidR="00AB6AFF" w:rsidRDefault="00AB6AFF">
      <w:pPr>
        <w:widowControl w:val="0"/>
        <w:rPr>
          <w:rFonts w:ascii="Courier 10cpi" w:hAnsi="Courier 10cpi"/>
          <w:b/>
          <w:color w:val="FF0000"/>
          <w:lang w:val="en-CA"/>
        </w:rPr>
      </w:pPr>
    </w:p>
    <w:p w:rsidR="00AB6AFF" w:rsidRDefault="00AB6AFF">
      <w:pPr>
        <w:widowControl w:val="0"/>
        <w:tabs>
          <w:tab w:val="center" w:pos="4680"/>
        </w:tabs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b/>
          <w:color w:val="FF0000"/>
          <w:lang w:val="en-CA"/>
        </w:rPr>
        <w:tab/>
      </w:r>
      <w:r>
        <w:rPr>
          <w:rFonts w:ascii="Courier 10cpi" w:hAnsi="Courier 10cpi"/>
          <w:b/>
          <w:color w:val="FF0000"/>
          <w:u w:val="single"/>
          <w:lang w:val="en-CA"/>
        </w:rPr>
        <w:t>Avis de requête</w:t>
      </w: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tabs>
          <w:tab w:val="right" w:pos="9359"/>
        </w:tabs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[</w:t>
      </w:r>
      <w:r>
        <w:rPr>
          <w:rFonts w:ascii="Courier 10cpi" w:hAnsi="Courier 10cpi"/>
          <w:i/>
          <w:color w:val="FF0000"/>
          <w:lang w:val="en-CA"/>
        </w:rPr>
        <w:t>n</w:t>
      </w:r>
      <w:r>
        <w:rPr>
          <w:rFonts w:ascii="Courier 10cpi" w:hAnsi="Courier 10cpi"/>
          <w:i/>
          <w:color w:val="FF0000"/>
          <w:vertAlign w:val="superscript"/>
          <w:lang w:val="en-CA"/>
        </w:rPr>
        <w:t>o</w:t>
      </w:r>
      <w:r>
        <w:rPr>
          <w:rFonts w:ascii="Courier 10cpi" w:hAnsi="Courier 10cpi"/>
          <w:i/>
          <w:color w:val="FF0000"/>
          <w:lang w:val="en-CA"/>
        </w:rPr>
        <w:t xml:space="preserve"> du dossier de la cour</w:t>
      </w:r>
      <w:r>
        <w:rPr>
          <w:rFonts w:ascii="Courier 10cpi" w:hAnsi="Courier 10cpi"/>
          <w:color w:val="FF0000"/>
          <w:lang w:val="en-CA"/>
        </w:rPr>
        <w:t>]</w:t>
      </w: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tabs>
          <w:tab w:val="center" w:pos="4680"/>
        </w:tabs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COUR DE L'ONTARIO (DIVISION GÉNÉRALE)</w:t>
      </w: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tabs>
          <w:tab w:val="center" w:pos="4680"/>
        </w:tabs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[</w:t>
      </w:r>
      <w:r>
        <w:rPr>
          <w:rFonts w:ascii="Courier 10cpi" w:hAnsi="Courier 10cpi"/>
          <w:i/>
          <w:color w:val="FF0000"/>
          <w:lang w:val="en-CA"/>
        </w:rPr>
        <w:t>intitulé de l'instance</w:t>
      </w:r>
      <w:r>
        <w:rPr>
          <w:rFonts w:ascii="Courier 10cpi" w:hAnsi="Courier 10cpi"/>
          <w:color w:val="FF0000"/>
          <w:lang w:val="en-CA"/>
        </w:rPr>
        <w:t>]</w:t>
      </w: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tabs>
          <w:tab w:val="center" w:pos="4680"/>
        </w:tabs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 xml:space="preserve">REQUÊTE EN VERTU DE LA </w:t>
      </w:r>
      <w:r>
        <w:rPr>
          <w:rFonts w:ascii="Courier 10cpi" w:hAnsi="Courier 10cpi"/>
          <w:i/>
          <w:color w:val="FF0000"/>
          <w:lang w:val="en-CA"/>
        </w:rPr>
        <w:t>Loi sur les procureurs</w:t>
      </w:r>
      <w:r>
        <w:rPr>
          <w:rFonts w:ascii="Courier 10cpi" w:hAnsi="Courier 10cpi"/>
          <w:color w:val="FF0000"/>
          <w:lang w:val="en-CA"/>
        </w:rPr>
        <w:t>,</w:t>
      </w:r>
    </w:p>
    <w:p w:rsidR="00AB6AFF" w:rsidRDefault="00AB6AFF">
      <w:pPr>
        <w:widowControl w:val="0"/>
        <w:tabs>
          <w:tab w:val="center" w:pos="4680"/>
        </w:tabs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L.R.O. 1990, chap. S.15</w:t>
      </w: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tabs>
          <w:tab w:val="center" w:pos="4680"/>
        </w:tabs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AVIS DE REQUÊTE</w:t>
      </w: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tabs>
          <w:tab w:val="center" w:pos="4680"/>
        </w:tabs>
        <w:rPr>
          <w:rFonts w:ascii="Courier 10cpi" w:hAnsi="Courier 10cpi"/>
          <w:i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[</w:t>
      </w:r>
      <w:r>
        <w:rPr>
          <w:rFonts w:ascii="Courier 10cpi" w:hAnsi="Courier 10cpi"/>
          <w:i/>
          <w:color w:val="FF0000"/>
          <w:lang w:val="en-CA"/>
        </w:rPr>
        <w:t>Le texte formel précédant la requête</w:t>
      </w:r>
    </w:p>
    <w:p w:rsidR="00AB6AFF" w:rsidRDefault="00AB6AFF">
      <w:pPr>
        <w:widowControl w:val="0"/>
        <w:tabs>
          <w:tab w:val="center" w:pos="4680"/>
        </w:tabs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i/>
          <w:color w:val="FF0000"/>
          <w:lang w:val="en-CA"/>
        </w:rPr>
        <w:tab/>
        <w:t>figure au chapitre 5.</w:t>
      </w:r>
      <w:r>
        <w:rPr>
          <w:rFonts w:ascii="Courier 10cpi" w:hAnsi="Courier 10cpi"/>
          <w:color w:val="FF0000"/>
          <w:lang w:val="en-CA"/>
        </w:rPr>
        <w:t>]</w:t>
      </w: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À : [</w:t>
      </w:r>
      <w:r>
        <w:rPr>
          <w:rFonts w:ascii="Courier 10cpi" w:hAnsi="Courier 10cpi"/>
          <w:i/>
          <w:color w:val="FF0000"/>
          <w:lang w:val="en-CA"/>
        </w:rPr>
        <w:t>nom et adresse</w:t>
      </w:r>
      <w:r>
        <w:rPr>
          <w:rFonts w:ascii="Courier 10cpi" w:hAnsi="Courier 10cpi"/>
          <w:color w:val="FF0000"/>
          <w:lang w:val="en-CA"/>
        </w:rPr>
        <w:t>]</w:t>
      </w: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tabs>
          <w:tab w:val="center" w:pos="4680"/>
        </w:tabs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REQUÊTE</w:t>
      </w: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1.</w:t>
      </w:r>
      <w:r>
        <w:rPr>
          <w:rFonts w:ascii="Courier 10cpi" w:hAnsi="Courier 10cpi"/>
          <w:color w:val="FF0000"/>
          <w:lang w:val="en-CA"/>
        </w:rPr>
        <w:tab/>
        <w:t>LE REQUÉRANT PRÉSENTE UNE REQUÊTE EN VUE D'OBTENIR :</w:t>
      </w:r>
    </w:p>
    <w:p w:rsidR="00AB6AFF" w:rsidRDefault="00AB6AFF">
      <w:pPr>
        <w:widowControl w:val="0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a)</w:t>
      </w:r>
      <w:r>
        <w:rPr>
          <w:rFonts w:ascii="Courier 10cpi" w:hAnsi="Courier 10cpi"/>
          <w:color w:val="FF0000"/>
          <w:lang w:val="en-CA"/>
        </w:rPr>
        <w:tab/>
        <w:t>une ordonnance prescrivant que la liquidation commencée par le liquidateur [</w:t>
      </w:r>
      <w:r>
        <w:rPr>
          <w:rFonts w:ascii="Courier 10cpi" w:hAnsi="Courier 10cpi"/>
          <w:i/>
          <w:color w:val="FF0000"/>
          <w:lang w:val="en-CA"/>
        </w:rPr>
        <w:t>nom</w:t>
      </w:r>
      <w:r>
        <w:rPr>
          <w:rFonts w:ascii="Courier 10cpi" w:hAnsi="Courier 10cpi"/>
          <w:color w:val="FF0000"/>
          <w:lang w:val="en-CA"/>
        </w:rPr>
        <w:t>] à [</w:t>
      </w:r>
      <w:r>
        <w:rPr>
          <w:rFonts w:ascii="Courier 10cpi" w:hAnsi="Courier 10cpi"/>
          <w:i/>
          <w:color w:val="FF0000"/>
          <w:lang w:val="en-CA"/>
        </w:rPr>
        <w:t>lieu</w:t>
      </w:r>
      <w:r>
        <w:rPr>
          <w:rFonts w:ascii="Courier 10cpi" w:hAnsi="Courier 10cpi"/>
          <w:color w:val="FF0000"/>
          <w:lang w:val="en-CA"/>
        </w:rPr>
        <w:t>] soit transférée à la Cour de l'Ontario (Division générale), dans le ressort de [</w:t>
      </w:r>
      <w:r>
        <w:rPr>
          <w:rFonts w:ascii="Courier 10cpi" w:hAnsi="Courier 10cpi"/>
          <w:i/>
          <w:color w:val="FF0000"/>
          <w:lang w:val="en-CA"/>
        </w:rPr>
        <w:t>lieu</w:t>
      </w:r>
      <w:r>
        <w:rPr>
          <w:rFonts w:ascii="Courier 10cpi" w:hAnsi="Courier 10cpi"/>
          <w:color w:val="FF0000"/>
          <w:lang w:val="en-CA"/>
        </w:rPr>
        <w:t>], et y soit entendue par un juge de cette Cour.</w:t>
      </w:r>
    </w:p>
    <w:p w:rsidR="00AB6AFF" w:rsidRDefault="00AB6AFF">
      <w:pPr>
        <w:widowControl w:val="0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b)</w:t>
      </w:r>
      <w:r>
        <w:rPr>
          <w:rFonts w:ascii="Courier 10cpi" w:hAnsi="Courier 10cpi"/>
          <w:color w:val="FF0000"/>
          <w:lang w:val="en-CA"/>
        </w:rPr>
        <w:tab/>
        <w:t>les dépens de la présente requête.</w:t>
      </w: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2.</w:t>
      </w:r>
      <w:r>
        <w:rPr>
          <w:rFonts w:ascii="Courier 10cpi" w:hAnsi="Courier 10cpi"/>
          <w:color w:val="FF0000"/>
          <w:lang w:val="en-CA"/>
        </w:rPr>
        <w:tab/>
        <w:t>LES MOYENS À L'APPUI DE LA REQUÊTE SONT LES SUIVANTS :</w:t>
      </w:r>
    </w:p>
    <w:p w:rsidR="00AB6AFF" w:rsidRDefault="00AB6AFF">
      <w:pPr>
        <w:widowControl w:val="0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a)</w:t>
      </w:r>
      <w:r>
        <w:rPr>
          <w:rFonts w:ascii="Courier 10cpi" w:hAnsi="Courier 10cpi"/>
          <w:color w:val="FF0000"/>
          <w:lang w:val="en-CA"/>
        </w:rPr>
        <w:tab/>
        <w:t>Le procureur requérant a obtenu une rencontre par voie de réquisition pour la liquidation d'un certain nombre de comptes qu'il a présentés au client intimé et qui n'ont pas encore été payés;</w:t>
      </w:r>
    </w:p>
    <w:p w:rsidR="00AB6AFF" w:rsidRDefault="00AB6AFF">
      <w:pPr>
        <w:widowControl w:val="0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b)</w:t>
      </w:r>
      <w:r>
        <w:rPr>
          <w:rFonts w:ascii="Courier 10cpi" w:hAnsi="Courier 10cpi"/>
          <w:color w:val="FF0000"/>
          <w:lang w:val="en-CA"/>
        </w:rPr>
        <w:tab/>
        <w:t>Le liquidateur [</w:t>
      </w:r>
      <w:r>
        <w:rPr>
          <w:rFonts w:ascii="Courier 10cpi" w:hAnsi="Courier 10cpi"/>
          <w:i/>
          <w:color w:val="FF0000"/>
          <w:lang w:val="en-CA"/>
        </w:rPr>
        <w:t>nom</w:t>
      </w:r>
      <w:r>
        <w:rPr>
          <w:rFonts w:ascii="Courier 10cpi" w:hAnsi="Courier 10cpi"/>
          <w:color w:val="FF0000"/>
          <w:lang w:val="en-CA"/>
        </w:rPr>
        <w:t>] a commencé la liquidation, et le [</w:t>
      </w:r>
      <w:r>
        <w:rPr>
          <w:rFonts w:ascii="Courier 10cpi" w:hAnsi="Courier 10cpi"/>
          <w:i/>
          <w:color w:val="FF0000"/>
          <w:lang w:val="en-CA"/>
        </w:rPr>
        <w:t>date</w:t>
      </w:r>
      <w:r>
        <w:rPr>
          <w:rFonts w:ascii="Courier 10cpi" w:hAnsi="Courier 10cpi"/>
          <w:color w:val="FF0000"/>
          <w:lang w:val="en-CA"/>
        </w:rPr>
        <w:t>], l'intimé a prétendu que le requérant avait été négligent dans la conduite de l'affaire qu'il lui avait confiée. Cette allégation n'avait pas été portée auparavant par l'intimé;</w:t>
      </w:r>
    </w:p>
    <w:p w:rsidR="00AB6AFF" w:rsidRDefault="00AB6AFF">
      <w:pPr>
        <w:widowControl w:val="0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c)</w:t>
      </w:r>
      <w:r>
        <w:rPr>
          <w:rFonts w:ascii="Courier 10cpi" w:hAnsi="Courier 10cpi"/>
          <w:color w:val="FF0000"/>
          <w:lang w:val="en-CA"/>
        </w:rPr>
        <w:tab/>
        <w:t>Au cours de la liquidation, le liquidateur a exprimé l'opinion que la liquidation pouvait continuer, mais qu'il verrait à réduire le montant dû au procureur s'il concluait que les allégations de négligence du client avaient quelque fondement. Par la suite, la liquidation a été ajournée à la demande du procureur, afin de lui permettre d'introduire et de présenter la présente requête;</w:t>
      </w:r>
    </w:p>
    <w:p w:rsidR="00AB6AFF" w:rsidRDefault="00AB6AFF">
      <w:pPr>
        <w:widowControl w:val="0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d)</w:t>
      </w:r>
      <w:r>
        <w:rPr>
          <w:rFonts w:ascii="Courier 10cpi" w:hAnsi="Courier 10cpi"/>
          <w:color w:val="FF0000"/>
          <w:lang w:val="en-CA"/>
        </w:rPr>
        <w:tab/>
        <w:t xml:space="preserve">Le requérant invoque la </w:t>
      </w:r>
      <w:r>
        <w:rPr>
          <w:rFonts w:ascii="Courier 10cpi" w:hAnsi="Courier 10cpi"/>
          <w:i/>
          <w:color w:val="FF0000"/>
          <w:lang w:val="en-CA"/>
        </w:rPr>
        <w:t>Loi sur les procureurs</w:t>
      </w:r>
      <w:r>
        <w:rPr>
          <w:rFonts w:ascii="Courier 10cpi" w:hAnsi="Courier 10cpi"/>
          <w:color w:val="FF0000"/>
          <w:lang w:val="en-CA"/>
        </w:rPr>
        <w:t>, L.R.O. 1990, chap. S.15 et le pouvoir inhérent de cette Cour de contrôler son fonctionnement.</w:t>
      </w: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ind w:left="72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3.</w:t>
      </w:r>
      <w:r>
        <w:rPr>
          <w:rFonts w:ascii="Courier 10cpi" w:hAnsi="Courier 10cpi"/>
          <w:color w:val="FF0000"/>
          <w:lang w:val="en-CA"/>
        </w:rPr>
        <w:tab/>
        <w:t>LA PREUVE DOCUMENTAIRE SUIVANTE sera utilisée lors de l'audition de la requête : l'affidavit de [</w:t>
      </w:r>
      <w:r>
        <w:rPr>
          <w:rFonts w:ascii="Courier 10cpi" w:hAnsi="Courier 10cpi"/>
          <w:i/>
          <w:color w:val="FF0000"/>
          <w:lang w:val="en-CA"/>
        </w:rPr>
        <w:t>nom</w:t>
      </w:r>
      <w:r>
        <w:rPr>
          <w:rFonts w:ascii="Courier 10cpi" w:hAnsi="Courier 10cpi"/>
          <w:color w:val="FF0000"/>
          <w:lang w:val="en-CA"/>
        </w:rPr>
        <w:t>] fait le [</w:t>
      </w:r>
      <w:r>
        <w:rPr>
          <w:rFonts w:ascii="Courier 10cpi" w:hAnsi="Courier 10cpi"/>
          <w:i/>
          <w:color w:val="FF0000"/>
          <w:lang w:val="en-CA"/>
        </w:rPr>
        <w:t>date</w:t>
      </w:r>
      <w:r>
        <w:rPr>
          <w:rFonts w:ascii="Courier 10cpi" w:hAnsi="Courier 10cpi"/>
          <w:color w:val="FF0000"/>
          <w:lang w:val="en-CA"/>
        </w:rPr>
        <w:t>].</w:t>
      </w: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ind w:left="4320" w:hanging="43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date</w:t>
      </w:r>
      <w:r>
        <w:rPr>
          <w:rFonts w:ascii="Courier 10cpi" w:hAnsi="Courier 10cpi"/>
          <w:color w:val="FF0000"/>
          <w:lang w:val="en-CA"/>
        </w:rPr>
        <w:t>]</w:t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  <w:t>[</w:t>
      </w:r>
      <w:r>
        <w:rPr>
          <w:rFonts w:ascii="Courier 10cpi" w:hAnsi="Courier 10cpi"/>
          <w:i/>
          <w:color w:val="FF0000"/>
          <w:lang w:val="en-CA"/>
        </w:rPr>
        <w:t>nom, adresse et numéro de téléphone du cabinet des procureurs</w:t>
      </w:r>
      <w:r>
        <w:rPr>
          <w:rFonts w:ascii="Courier 10cpi" w:hAnsi="Courier 10cpi"/>
          <w:color w:val="FF0000"/>
          <w:lang w:val="en-CA"/>
        </w:rPr>
        <w:t>]</w:t>
      </w: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</w:p>
    <w:p w:rsidR="00AB6AFF" w:rsidRDefault="00AB6AFF">
      <w:pPr>
        <w:widowControl w:val="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ab/>
        <w:t>procureurs du procureur requérant</w:t>
      </w:r>
    </w:p>
    <w:sectPr w:rsidR="00AB6AFF" w:rsidSect="00AB6A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FF"/>
    <w:rsid w:val="00AB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