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2" w:rsidRDefault="00C67052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C67052" w:rsidRDefault="00C6705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[81:B:4]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C67052" w:rsidRDefault="00C6705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en vue d'obtenir que le produit de la vente d'un bien-fonds situé à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 soit grevé d'un sûreté en sa faveur, a été entendue aujourd'hui à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motion, les actes de procédure,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que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et après avoir entendu les plaidoiries des procureurs de l'intimée et du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 xml:space="preserve">], 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CONSTITUE le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 titulaire d'une sûreté sur le produit net de la vente du bien-fonds dont la description est la suivante : [</w:t>
      </w:r>
      <w:r>
        <w:rPr>
          <w:rFonts w:ascii="Courier 10cpi" w:hAnsi="Courier 10cpi"/>
          <w:i/>
          <w:lang w:val="en-CA"/>
        </w:rPr>
        <w:t>description du bien-fonds</w:t>
      </w:r>
      <w:r>
        <w:rPr>
          <w:rFonts w:ascii="Courier 10cpi" w:hAnsi="Courier 10cpi"/>
          <w:lang w:val="en-CA"/>
        </w:rPr>
        <w:t>]. LE TRIBUNAL ORDONNE que le montant de cette sûreté ne devra pas excéder ... $, ET IL ORDONNE que cette sûreté ne pourra être réalisée par le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qu'après la mainlevée de toutes les hypothèques qui grèvent le bien-fonds à ce jour et le paiement des dépenses reliées à la vente, notamment les frais juridiques et la commission du courtier.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que, à compter de la date à laquelle le certificat de la liquidation prévue pour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aura été délivré,  la sûreté sera limitée au montant auquel il aura conclu.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 les dépens de la présente motion soient fixés à ... $ et que l'épouse intimée les paye sans délai au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].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C67052" w:rsidRDefault="00C6705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C67052" w:rsidSect="00C670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52"/>
    <w:rsid w:val="00C6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