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C7" w:rsidRDefault="005C53C7">
      <w:pPr>
        <w:widowControl w:val="0"/>
        <w:tabs>
          <w:tab w:val="center" w:pos="4680"/>
        </w:tabs>
        <w:spacing w:line="240" w:lineRule="exact"/>
        <w:jc w:val="both"/>
        <w:rPr>
          <w:rFonts w:ascii="Courier 10cpi" w:hAnsi="Courier 10cpi"/>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83</w:t>
      </w:r>
    </w:p>
    <w:p w:rsidR="005C53C7" w:rsidRDefault="005C53C7">
      <w:pPr>
        <w:widowControl w:val="0"/>
        <w:spacing w:line="240" w:lineRule="exact"/>
        <w:rPr>
          <w:rFonts w:ascii="Courier 10cpi" w:hAnsi="Courier 10cpi"/>
          <w:sz w:val="36"/>
          <w:lang w:val="en-CA"/>
        </w:rPr>
      </w:pPr>
    </w:p>
    <w:p w:rsidR="005C53C7" w:rsidRDefault="005C53C7">
      <w:pPr>
        <w:widowControl w:val="0"/>
        <w:tabs>
          <w:tab w:val="center" w:pos="4680"/>
        </w:tabs>
        <w:spacing w:line="240" w:lineRule="exact"/>
        <w:rPr>
          <w:rFonts w:ascii="Courier 10cpi" w:hAnsi="Courier 10cpi"/>
          <w:b/>
          <w:sz w:val="36"/>
          <w:lang w:val="en-CA"/>
        </w:rPr>
      </w:pPr>
      <w:r>
        <w:rPr>
          <w:rFonts w:ascii="Courier 10cpi" w:hAnsi="Courier 10cpi"/>
          <w:sz w:val="36"/>
          <w:lang w:val="en-CA"/>
        </w:rPr>
        <w:tab/>
      </w:r>
      <w:r>
        <w:rPr>
          <w:rFonts w:ascii="Courier 10cpi" w:hAnsi="Courier 10cpi"/>
          <w:b/>
          <w:sz w:val="36"/>
          <w:lang w:val="en-CA"/>
        </w:rPr>
        <w:t>MODIFICATION DES JUGEMENTS</w:t>
      </w:r>
    </w:p>
    <w:p w:rsidR="005C53C7" w:rsidRDefault="005C53C7">
      <w:pPr>
        <w:widowControl w:val="0"/>
        <w:tabs>
          <w:tab w:val="center" w:pos="4680"/>
        </w:tabs>
        <w:spacing w:line="240" w:lineRule="exact"/>
        <w:rPr>
          <w:rFonts w:ascii="Courier 10cpi" w:hAnsi="Courier 10cpi"/>
          <w:lang w:val="en-CA"/>
        </w:rPr>
      </w:pPr>
      <w:r>
        <w:rPr>
          <w:rFonts w:ascii="Courier 10cpi" w:hAnsi="Courier 10cpi"/>
          <w:b/>
          <w:sz w:val="36"/>
          <w:lang w:val="en-CA"/>
        </w:rPr>
        <w:tab/>
        <w:t>ET DES ORDONNANCES</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lang w:val="en-CA"/>
        </w:rPr>
      </w:pPr>
    </w:p>
    <w:p w:rsidR="005C53C7" w:rsidRDefault="005C53C7">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A. MOTION EN MODIFICATION</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lang w:val="en-CA"/>
        </w:rPr>
      </w:pPr>
      <w:r>
        <w:rPr>
          <w:rFonts w:ascii="Courier 10cpi" w:hAnsi="Courier 10cpi"/>
          <w:lang w:val="en-CA"/>
        </w:rPr>
        <w:t>REMARQUE : Un juge, un protonotaire ou un greffier peut modifier son jugement en tout temps avant qu'il soit prononcé. Mais après avoir rendu son jugement ou son ordonnance, le juge ou l'officier de justice est dessaisi et n'a d'autres pouvoirs de modification que ceux que lui confère expressément la Règle 59 des Règles de procédure civile.</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ind w:left="720" w:hanging="720"/>
        <w:rPr>
          <w:rFonts w:ascii="Courier 10cpi" w:hAnsi="Courier 10cpi"/>
          <w:b/>
          <w:color w:val="FF0000"/>
          <w:lang w:val="en-CA"/>
        </w:rPr>
      </w:pPr>
      <w:r>
        <w:rPr>
          <w:rFonts w:ascii="Courier 10cpi" w:hAnsi="Courier 10cpi"/>
          <w:b/>
          <w:color w:val="FF0000"/>
          <w:lang w:val="en-CA"/>
        </w:rPr>
        <w:t>(i)</w:t>
      </w:r>
      <w:r>
        <w:rPr>
          <w:rFonts w:ascii="Courier 10cpi" w:hAnsi="Courier 10cpi"/>
          <w:b/>
          <w:color w:val="FF0000"/>
          <w:lang w:val="en-CA"/>
        </w:rPr>
        <w:tab/>
        <w:t>Réouverture d'un jugement avant son inscription</w:t>
      </w:r>
    </w:p>
    <w:p w:rsidR="005C53C7" w:rsidRDefault="005C53C7">
      <w:pPr>
        <w:widowControl w:val="0"/>
        <w:spacing w:line="240" w:lineRule="exact"/>
        <w:rPr>
          <w:rFonts w:ascii="Courier 10cpi" w:hAnsi="Courier 10cpi"/>
          <w:color w:val="FF0000"/>
          <w:lang w:val="en-CA"/>
        </w:rPr>
      </w:pPr>
    </w:p>
    <w:p w:rsidR="005C53C7" w:rsidRDefault="005C53C7">
      <w:pPr>
        <w:widowControl w:val="0"/>
        <w:spacing w:line="240" w:lineRule="exact"/>
        <w:rPr>
          <w:rFonts w:ascii="Courier 10cpi" w:hAnsi="Courier 10cpi"/>
          <w:color w:val="FF0000"/>
          <w:lang w:val="en-CA"/>
        </w:rPr>
      </w:pPr>
      <w:r>
        <w:rPr>
          <w:rFonts w:ascii="Courier 10cpi" w:hAnsi="Courier 10cpi"/>
          <w:color w:val="FF0000"/>
          <w:lang w:val="en-CA"/>
        </w:rPr>
        <w:t xml:space="preserve">Entre le prononcé des motifs du jugement et l'inscription de celui-ci, le juge du procès peut rouvrir le procès pour entendre de nouveaux témoignages. Il jouit d'un pouvoir discrétionnaire complet en la matière. Cette attribution a pour objet de prévenir les erreurs judiciaires fondamentales : </w:t>
      </w:r>
      <w:r>
        <w:rPr>
          <w:rFonts w:ascii="Courier 10cpi" w:hAnsi="Courier 10cpi"/>
          <w:i/>
          <w:color w:val="FF0000"/>
          <w:lang w:val="en-CA"/>
        </w:rPr>
        <w:t>Castlerigg Investments Inc. v. Lam</w:t>
      </w:r>
      <w:r>
        <w:rPr>
          <w:rFonts w:ascii="Courier 10cpi" w:hAnsi="Courier 10cpi"/>
          <w:color w:val="FF0000"/>
          <w:lang w:val="en-CA"/>
        </w:rPr>
        <w:t xml:space="preserve">, (1991) 2 O.R. (3d) 216 (Div. gén.), qui cite </w:t>
      </w:r>
      <w:r>
        <w:rPr>
          <w:rFonts w:ascii="Courier 10cpi" w:hAnsi="Courier 10cpi"/>
          <w:i/>
          <w:color w:val="FF0000"/>
          <w:lang w:val="en-CA"/>
        </w:rPr>
        <w:t>Clayton v. B.A. Securities Ltd.</w:t>
      </w:r>
      <w:r>
        <w:rPr>
          <w:rFonts w:ascii="Courier 10cpi" w:hAnsi="Courier 10cpi"/>
          <w:color w:val="FF0000"/>
          <w:lang w:val="en-CA"/>
        </w:rPr>
        <w:t xml:space="preserve">, (1934) 49 B.C.R. 28, [1934] 3 W.W.R. 257, [1935] 1 D.L.R. 432 (C.A.). Si le jugement n'a pas encore été inscrit, point n'est besoin d'établir de circonstances spéciales pour obtenir sa réouverture : </w:t>
      </w:r>
      <w:r>
        <w:rPr>
          <w:rFonts w:ascii="Courier 10cpi" w:hAnsi="Courier 10cpi"/>
          <w:i/>
          <w:color w:val="FF0000"/>
          <w:lang w:val="en-CA"/>
        </w:rPr>
        <w:t>Federal Business Development Bank v. Mission Creek Farm Inc.</w:t>
      </w:r>
      <w:r>
        <w:rPr>
          <w:rFonts w:ascii="Courier 10cpi" w:hAnsi="Courier 10cpi"/>
          <w:color w:val="FF0000"/>
          <w:lang w:val="en-CA"/>
        </w:rPr>
        <w:t xml:space="preserve">, (1988) 25 B.C.L.R. (2d) 188, [1988] 5 W.W.R. 241, 28 C.P.C. (2d) 171 (C.A.). </w:t>
      </w:r>
    </w:p>
    <w:p w:rsidR="005C53C7" w:rsidRDefault="005C53C7">
      <w:pPr>
        <w:widowControl w:val="0"/>
        <w:spacing w:line="240" w:lineRule="exact"/>
        <w:rPr>
          <w:rFonts w:ascii="Courier 10cpi" w:hAnsi="Courier 10cpi"/>
          <w:color w:val="FF0000"/>
          <w:lang w:val="en-CA"/>
        </w:rPr>
      </w:pPr>
    </w:p>
    <w:p w:rsidR="005C53C7" w:rsidRDefault="005C53C7">
      <w:pPr>
        <w:widowControl w:val="0"/>
        <w:spacing w:line="240" w:lineRule="exact"/>
        <w:rPr>
          <w:rFonts w:ascii="Courier 10cpi" w:hAnsi="Courier 10cpi"/>
          <w:color w:val="FF0000"/>
          <w:lang w:val="en-CA"/>
        </w:rPr>
      </w:pPr>
      <w:r>
        <w:rPr>
          <w:rFonts w:ascii="Courier 10cpi" w:hAnsi="Courier 10cpi"/>
          <w:color w:val="FF0000"/>
          <w:lang w:val="en-CA"/>
        </w:rPr>
        <w:t xml:space="preserve">Tant que le jugement n'est pas inscrit, le juge du procès peut, à son entière discrétion, rouvrir le procès et prendre connaissance de nouveaux éléments de preuve. Le juge qui exerce cette compétence devrait appliquer un critère à deux volets : en premier lieu, il doit être probable que la preuve visée eût changé l'issue du procès; en second lieu, il ne faut pas que cette preuve eût pu être découverte par l'exercice d'une diligence raisonnable. Lorsque les fins de la justice l'exigent, et, particulièrement, en cas de fraude ou dans les situations où l'on a pu tromper le tribunal délibérément, le juge est justifié d'écarter l'exigence de la diligence raisonnable et de lui préférer la prévention de l'erreur judiciaire fondamentale : </w:t>
      </w:r>
      <w:r>
        <w:rPr>
          <w:rFonts w:ascii="Courier 10cpi" w:hAnsi="Courier 10cpi"/>
          <w:i/>
          <w:color w:val="FF0000"/>
          <w:lang w:val="en-CA"/>
        </w:rPr>
        <w:t>Qit Fer Titane Inc. v. Upper Lakes Shipping Ltd.</w:t>
      </w:r>
      <w:r>
        <w:rPr>
          <w:rFonts w:ascii="Courier 10cpi" w:hAnsi="Courier 10cpi"/>
          <w:color w:val="FF0000"/>
          <w:lang w:val="en-CA"/>
        </w:rPr>
        <w:t xml:space="preserve">, (1991) 3 O.R. (3d) 165 (Div. gén.). Si la motion en vue d'obtenir l'autorisation de soumettre une nouvelle preuve est présentée après le prononcé des motifs du jugement mais avant l'inscription du jugement, elle se trouve régie par les critères énoncés dans la décision </w:t>
      </w:r>
      <w:r>
        <w:rPr>
          <w:rFonts w:ascii="Courier 10cpi" w:hAnsi="Courier 10cpi"/>
          <w:i/>
          <w:color w:val="FF0000"/>
          <w:lang w:val="en-CA"/>
        </w:rPr>
        <w:t>Scott v. Cook</w:t>
      </w:r>
      <w:r>
        <w:rPr>
          <w:rFonts w:ascii="Courier 10cpi" w:hAnsi="Courier 10cpi"/>
          <w:color w:val="FF0000"/>
          <w:lang w:val="en-CA"/>
        </w:rPr>
        <w:t xml:space="preserve">, [1970] 2 O.R. 769, aux p. 774 et 775 (H.C.). Le principe gouvernant les jugements définitifs vaut également pour les ordonnances interlocutoires, qui peuvent aussi être retirées ou modifiées tant qu'elles ne sont pas inscrites : </w:t>
      </w:r>
      <w:r>
        <w:rPr>
          <w:rFonts w:ascii="Courier 10cpi" w:hAnsi="Courier 10cpi"/>
          <w:i/>
          <w:color w:val="FF0000"/>
          <w:lang w:val="en-CA"/>
        </w:rPr>
        <w:t>Smith Bus Lines v. Bank of Montreal</w:t>
      </w:r>
      <w:r>
        <w:rPr>
          <w:rFonts w:ascii="Courier 10cpi" w:hAnsi="Courier 10cpi"/>
          <w:color w:val="FF0000"/>
          <w:lang w:val="en-CA"/>
        </w:rPr>
        <w:t xml:space="preserve">, (1987) 25 C.P.C. (2d) 255, p. 270 (H.C. Ont.). Le protonotaire est, comme le juge, habilité à retirer ou modifier son ordonnance avant qu'elle ne soit inscrite : </w:t>
      </w:r>
      <w:r>
        <w:rPr>
          <w:rFonts w:ascii="Courier 10cpi" w:hAnsi="Courier 10cpi"/>
          <w:i/>
          <w:color w:val="FF0000"/>
          <w:lang w:val="en-CA"/>
        </w:rPr>
        <w:t>Saginur v. Sbrocchi</w:t>
      </w:r>
      <w:r>
        <w:rPr>
          <w:rFonts w:ascii="Courier 10cpi" w:hAnsi="Courier 10cpi"/>
          <w:color w:val="FF0000"/>
          <w:lang w:val="en-CA"/>
        </w:rPr>
        <w:t>, (1979) 12 C.P.C. 21 (C.S. Ont.).</w:t>
      </w:r>
    </w:p>
    <w:p w:rsidR="005C53C7" w:rsidRDefault="005C53C7">
      <w:pPr>
        <w:widowControl w:val="0"/>
        <w:spacing w:line="240" w:lineRule="exact"/>
        <w:rPr>
          <w:rFonts w:ascii="Courier 10cpi" w:hAnsi="Courier 10cpi"/>
          <w:color w:val="FF0000"/>
          <w:lang w:val="en-CA"/>
        </w:rPr>
      </w:pPr>
    </w:p>
    <w:p w:rsidR="005C53C7" w:rsidRDefault="005C53C7">
      <w:pPr>
        <w:widowControl w:val="0"/>
        <w:spacing w:line="240" w:lineRule="exact"/>
        <w:rPr>
          <w:rFonts w:ascii="Courier 10cpi" w:hAnsi="Courier 10cpi"/>
          <w:color w:val="FF0000"/>
          <w:lang w:val="en-CA"/>
        </w:rPr>
      </w:pPr>
      <w:r>
        <w:rPr>
          <w:rFonts w:ascii="Courier 10cpi" w:hAnsi="Courier 10cpi"/>
          <w:color w:val="FF0000"/>
          <w:lang w:val="en-CA"/>
        </w:rPr>
        <w:t xml:space="preserve">Lorsqu'une affaire met en jeu une question sérieuse ayant trait aux principes fondamentaux de justice, cette question peut très bien être portée à l'attention du juge ou du protonotaire au moyen d'une lettre, après communication d'un préavis en règle à l'avocat de la partie adverse : </w:t>
      </w:r>
      <w:r>
        <w:rPr>
          <w:rFonts w:ascii="Courier 10cpi" w:hAnsi="Courier 10cpi"/>
          <w:i/>
          <w:color w:val="FF0000"/>
          <w:lang w:val="en-CA"/>
        </w:rPr>
        <w:t>Smith Bus Lines v. Bank of Montreal</w:t>
      </w:r>
      <w:r>
        <w:rPr>
          <w:rFonts w:ascii="Courier 10cpi" w:hAnsi="Courier 10cpi"/>
          <w:color w:val="FF0000"/>
          <w:lang w:val="en-CA"/>
        </w:rPr>
        <w:t>.</w:t>
      </w:r>
    </w:p>
    <w:p w:rsidR="005C53C7" w:rsidRDefault="005C53C7">
      <w:pPr>
        <w:widowControl w:val="0"/>
        <w:spacing w:line="240" w:lineRule="exact"/>
        <w:rPr>
          <w:rFonts w:ascii="Courier 10cpi" w:hAnsi="Courier 10cpi"/>
          <w:color w:val="FF0000"/>
          <w:lang w:val="en-CA"/>
        </w:rPr>
      </w:pPr>
    </w:p>
    <w:p w:rsidR="005C53C7" w:rsidRDefault="005C53C7">
      <w:pPr>
        <w:widowControl w:val="0"/>
        <w:spacing w:line="240" w:lineRule="exact"/>
        <w:ind w:left="720" w:hanging="720"/>
        <w:rPr>
          <w:rFonts w:ascii="Courier 10cpi" w:hAnsi="Courier 10cpi"/>
          <w:lang w:val="en-CA"/>
        </w:rPr>
      </w:pPr>
      <w:r>
        <w:rPr>
          <w:rFonts w:ascii="Courier 10cpi" w:hAnsi="Courier 10cpi"/>
          <w:b/>
          <w:color w:val="FF0000"/>
          <w:lang w:val="en-CA"/>
        </w:rPr>
        <w:t>(ii)</w:t>
      </w:r>
      <w:r>
        <w:rPr>
          <w:rFonts w:ascii="Courier 10cpi" w:hAnsi="Courier 10cpi"/>
          <w:b/>
          <w:color w:val="FF0000"/>
          <w:lang w:val="en-CA"/>
        </w:rPr>
        <w:tab/>
        <w:t>Modification d'une ordonnance après son inscription</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lang w:val="en-CA"/>
        </w:rPr>
      </w:pPr>
      <w:r>
        <w:rPr>
          <w:rFonts w:ascii="Courier 10cpi" w:hAnsi="Courier 10cpi"/>
          <w:lang w:val="en-CA"/>
        </w:rPr>
        <w:t>En vertu du paragraphe 59.06(1), l'ordonnance qui :</w:t>
      </w:r>
    </w:p>
    <w:p w:rsidR="005C53C7" w:rsidRDefault="005C53C7">
      <w:pPr>
        <w:widowControl w:val="0"/>
        <w:spacing w:line="240" w:lineRule="exact"/>
        <w:ind w:left="720" w:hanging="720"/>
        <w:rPr>
          <w:rFonts w:ascii="Courier 10cpi" w:hAnsi="Courier 10cpi"/>
          <w:lang w:val="en-CA"/>
        </w:rPr>
      </w:pPr>
      <w:r>
        <w:rPr>
          <w:rFonts w:ascii="Courier 10cpi" w:hAnsi="Courier 10cpi"/>
          <w:lang w:val="en-CA"/>
        </w:rPr>
        <w:t>a)</w:t>
      </w:r>
      <w:r>
        <w:rPr>
          <w:rFonts w:ascii="Courier 10cpi" w:hAnsi="Courier 10cpi"/>
          <w:lang w:val="en-CA"/>
        </w:rPr>
        <w:tab/>
        <w:t>comporte une erreur d'écriture découlant d'un lapsus ou d'une omission;</w:t>
      </w:r>
    </w:p>
    <w:p w:rsidR="005C53C7" w:rsidRDefault="005C53C7">
      <w:pPr>
        <w:widowControl w:val="0"/>
        <w:spacing w:line="240" w:lineRule="exact"/>
        <w:ind w:left="720" w:hanging="720"/>
        <w:rPr>
          <w:rFonts w:ascii="Courier 10cpi" w:hAnsi="Courier 10cpi"/>
          <w:lang w:val="en-CA"/>
        </w:rPr>
      </w:pPr>
      <w:r>
        <w:rPr>
          <w:rFonts w:ascii="Courier 10cpi" w:hAnsi="Courier 10cpi"/>
          <w:lang w:val="en-CA"/>
        </w:rPr>
        <w:t>b)</w:t>
      </w:r>
      <w:r>
        <w:rPr>
          <w:rFonts w:ascii="Courier 10cpi" w:hAnsi="Courier 10cpi"/>
          <w:lang w:val="en-CA"/>
        </w:rPr>
        <w:tab/>
        <w:t>doit être modifiée relativement à un point sur lequel le tribunal n'a pas statué,</w:t>
      </w:r>
    </w:p>
    <w:p w:rsidR="005C53C7" w:rsidRDefault="005C53C7">
      <w:pPr>
        <w:widowControl w:val="0"/>
        <w:spacing w:line="240" w:lineRule="exact"/>
        <w:rPr>
          <w:rFonts w:ascii="Courier 10cpi" w:hAnsi="Courier 10cpi"/>
          <w:lang w:val="en-CA"/>
        </w:rPr>
      </w:pPr>
      <w:r>
        <w:rPr>
          <w:rFonts w:ascii="Courier 10cpi" w:hAnsi="Courier 10cpi"/>
          <w:lang w:val="en-CA"/>
        </w:rPr>
        <w:t>peut être modifiée par voie de motion dans l'instance.</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color w:val="FF0000"/>
          <w:lang w:val="en-CA"/>
        </w:rPr>
      </w:pPr>
      <w:r>
        <w:rPr>
          <w:rFonts w:ascii="Courier 10cpi" w:hAnsi="Courier 10cpi"/>
          <w:color w:val="FF0000"/>
          <w:lang w:val="en-CA"/>
        </w:rPr>
        <w:t xml:space="preserve">L'alinéa 59.06(1)a) a pour objet de modifier les jugements comportant une erreur d'écriture découlant d'un lapsus et non d'annuler les jugements découlant de lapsus : </w:t>
      </w:r>
      <w:r>
        <w:rPr>
          <w:rFonts w:ascii="Courier 10cpi" w:hAnsi="Courier 10cpi"/>
          <w:i/>
          <w:color w:val="FF0000"/>
          <w:lang w:val="en-CA"/>
        </w:rPr>
        <w:t>Central Canada Travel Services v. Bank of Montreal</w:t>
      </w:r>
      <w:r>
        <w:rPr>
          <w:rFonts w:ascii="Courier 10cpi" w:hAnsi="Courier 10cpi"/>
          <w:color w:val="FF0000"/>
          <w:lang w:val="en-CA"/>
        </w:rPr>
        <w:t xml:space="preserve">, (1986) 57 O.R. (2d) 633, 13 C.P.C. (2d) 119 (H.C.). Un jugement rendu de consentement ne peut être modifié que pour les mêmes motifs pour lesquels un contrat peut l'être :  </w:t>
      </w:r>
      <w:r>
        <w:rPr>
          <w:rFonts w:ascii="Courier 10cpi" w:hAnsi="Courier 10cpi"/>
          <w:i/>
          <w:color w:val="FF0000"/>
          <w:lang w:val="en-CA"/>
        </w:rPr>
        <w:t>Monarch Construction Ltd. v. Buildevco Ltd.</w:t>
      </w:r>
      <w:r>
        <w:rPr>
          <w:rFonts w:ascii="Courier 10cpi" w:hAnsi="Courier 10cpi"/>
          <w:color w:val="FF0000"/>
          <w:lang w:val="en-CA"/>
        </w:rPr>
        <w:t xml:space="preserve">, (1988) 26 C.P.C. (2d) 164 (C.A. Ont.). Le paragraphe 59.06(1) ne permet pas aux parties de plaider leur cause à nouveau, de sorte que les motifs de jugement doivent être considérés comme définitifs, sous réserve du droit d'en interjeter appel, à moins que le jugement qu'ils visent n'omette de traiter d'une question soulevée dans l'instance ou ne comporte une erreur de calcul : </w:t>
      </w:r>
      <w:r>
        <w:rPr>
          <w:rFonts w:ascii="Courier 10cpi" w:hAnsi="Courier 10cpi"/>
          <w:i/>
          <w:color w:val="FF0000"/>
          <w:lang w:val="en-CA"/>
        </w:rPr>
        <w:t>Rickett v. Rickett</w:t>
      </w:r>
      <w:r>
        <w:rPr>
          <w:rFonts w:ascii="Courier 10cpi" w:hAnsi="Courier 10cpi"/>
          <w:color w:val="FF0000"/>
          <w:lang w:val="en-CA"/>
        </w:rPr>
        <w:t xml:space="preserve">, (1990) 71 D.L.R. (4th) 734 (H.C. Ont.). Notons toutefois que, dans une affaire où les motifs de jugement comportaient une erreur d'inattention et où cette erreur avait été portée au jugement inscrit au greffe, le tribunal a modifié cette décision plus de deux ans après son inscription afin de lui faire exprimer l'intention initiale du tribunal; dans cette espèce, le retard à présenter la motion en modification avait été expliqué de façon adéquate et la partie intimée ne subissait point de préjudice : </w:t>
      </w:r>
      <w:r>
        <w:rPr>
          <w:rFonts w:ascii="Courier 10cpi" w:hAnsi="Courier 10cpi"/>
          <w:i/>
          <w:color w:val="FF0000"/>
          <w:lang w:val="en-CA"/>
        </w:rPr>
        <w:t>Vicckies v. Vicckies</w:t>
      </w:r>
      <w:r>
        <w:rPr>
          <w:rFonts w:ascii="Courier 10cpi" w:hAnsi="Courier 10cpi"/>
          <w:color w:val="FF0000"/>
          <w:lang w:val="en-CA"/>
        </w:rPr>
        <w:t>, (1990) 45 C.P.C. (2d) 200 (Div. gén. Ont.).</w:t>
      </w:r>
    </w:p>
    <w:p w:rsidR="005C53C7" w:rsidRDefault="005C53C7">
      <w:pPr>
        <w:widowControl w:val="0"/>
        <w:spacing w:line="240" w:lineRule="exact"/>
        <w:rPr>
          <w:rFonts w:ascii="Courier 10cpi" w:hAnsi="Courier 10cpi"/>
          <w:color w:val="FF0000"/>
          <w:lang w:val="en-CA"/>
        </w:rPr>
      </w:pPr>
    </w:p>
    <w:p w:rsidR="005C53C7" w:rsidRDefault="005C53C7">
      <w:pPr>
        <w:widowControl w:val="0"/>
        <w:spacing w:line="240" w:lineRule="exact"/>
        <w:rPr>
          <w:rFonts w:ascii="Courier 10cpi" w:hAnsi="Courier 10cpi"/>
          <w:lang w:val="en-CA"/>
        </w:rPr>
      </w:pPr>
      <w:r>
        <w:rPr>
          <w:rFonts w:ascii="Courier 10cpi" w:hAnsi="Courier 10cpi"/>
          <w:color w:val="FF0000"/>
          <w:lang w:val="en-CA"/>
        </w:rPr>
        <w:t xml:space="preserve">Soulignons que, si l'alinéa 37.02(2)b) précise que le protonotaire n'est pas habilité à annuler ou à modifier une ordonnance rendue par un juge, la compétence du protonotaire de modifier les autres ordonnances sous le régime du paragraphe 59.06(1) ne fait aucun doute : </w:t>
      </w:r>
      <w:r>
        <w:rPr>
          <w:rFonts w:ascii="Courier 10cpi" w:hAnsi="Courier 10cpi"/>
          <w:i/>
          <w:color w:val="FF0000"/>
          <w:lang w:val="en-CA"/>
        </w:rPr>
        <w:t>Amato v. Amato</w:t>
      </w:r>
      <w:r>
        <w:rPr>
          <w:rFonts w:ascii="Courier 10cpi" w:hAnsi="Courier 10cpi"/>
          <w:color w:val="FF0000"/>
          <w:lang w:val="en-CA"/>
        </w:rPr>
        <w:t>, [1955] O.W.N. 313 (H.C.)</w:t>
      </w:r>
      <w:r>
        <w:rPr>
          <w:rFonts w:ascii="Courier 10cpi" w:hAnsi="Courier 10cpi"/>
          <w:lang w:val="en-CA"/>
        </w:rPr>
        <w:t>.</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lang w:val="en-CA"/>
        </w:rPr>
      </w:pPr>
    </w:p>
    <w:p w:rsidR="005C53C7" w:rsidRDefault="005C53C7">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[83:A:1]</w:t>
      </w:r>
      <w:r>
        <w:rPr>
          <w:rFonts w:ascii="Courier 10cpi" w:hAnsi="Courier 10cpi"/>
          <w:lang w:val="en-CA"/>
        </w:rPr>
        <w:t xml:space="preserve"> </w:t>
      </w:r>
    </w:p>
    <w:p w:rsidR="005C53C7" w:rsidRDefault="005C53C7">
      <w:pPr>
        <w:widowControl w:val="0"/>
        <w:spacing w:line="240" w:lineRule="exact"/>
        <w:rPr>
          <w:rFonts w:ascii="Courier 10cpi" w:hAnsi="Courier 10cpi"/>
          <w:lang w:val="en-CA"/>
        </w:rPr>
      </w:pPr>
    </w:p>
    <w:p w:rsidR="005C53C7" w:rsidRDefault="005C53C7">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motion : lapsus ou omission</w:t>
      </w:r>
    </w:p>
    <w:p w:rsidR="005C53C7" w:rsidRDefault="005C53C7">
      <w:pPr>
        <w:widowControl w:val="0"/>
        <w:spacing w:line="240" w:lineRule="exact"/>
        <w:rPr>
          <w:rFonts w:ascii="Courier 10cpi" w:hAnsi="Courier 10cpi"/>
          <w:lang w:val="en-CA"/>
        </w:rPr>
      </w:pPr>
    </w:p>
    <w:p w:rsidR="005C53C7" w:rsidRDefault="005C53C7">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C53C7" w:rsidRDefault="005C53C7">
      <w:pPr>
        <w:widowControl w:val="0"/>
        <w:spacing w:line="240" w:lineRule="exact"/>
        <w:rPr>
          <w:rFonts w:ascii="Courier 10cpi" w:hAnsi="Courier 10cpi"/>
          <w:lang w:val="en-CA"/>
        </w:rPr>
      </w:pPr>
    </w:p>
    <w:p w:rsidR="005C53C7" w:rsidRDefault="005C53C7">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5C53C7" w:rsidRDefault="005C53C7">
      <w:pPr>
        <w:widowControl w:val="0"/>
        <w:spacing w:line="240" w:lineRule="exact"/>
        <w:rPr>
          <w:rFonts w:ascii="Courier 10cpi" w:hAnsi="Courier 10cpi"/>
          <w:lang w:val="en-CA"/>
        </w:rPr>
      </w:pPr>
    </w:p>
    <w:p w:rsidR="005C53C7" w:rsidRDefault="005C53C7">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C53C7" w:rsidRDefault="005C53C7">
      <w:pPr>
        <w:widowControl w:val="0"/>
        <w:spacing w:line="240" w:lineRule="exact"/>
        <w:rPr>
          <w:rFonts w:ascii="Courier 10cpi" w:hAnsi="Courier 10cpi"/>
          <w:lang w:val="en-CA"/>
        </w:rPr>
      </w:pPr>
    </w:p>
    <w:p w:rsidR="005C53C7" w:rsidRDefault="005C53C7">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lang w:val="en-CA"/>
        </w:rPr>
      </w:pPr>
      <w:r>
        <w:rPr>
          <w:rFonts w:ascii="Courier 10cpi" w:hAnsi="Courier 10cpi"/>
          <w:lang w:val="en-CA"/>
        </w:rPr>
        <w:tab/>
        <w:t>Le demandeur présentera une motion à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 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5C53C7" w:rsidRDefault="005C53C7">
      <w:pPr>
        <w:widowControl w:val="0"/>
        <w:spacing w:line="240" w:lineRule="exact"/>
        <w:rPr>
          <w:rFonts w:ascii="Courier 10cpi" w:hAnsi="Courier 10cpi"/>
          <w:color w:val="FF0000"/>
          <w:lang w:val="en-CA"/>
        </w:rPr>
      </w:pPr>
    </w:p>
    <w:p w:rsidR="005C53C7" w:rsidRDefault="005C53C7">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5C53C7" w:rsidRDefault="005C53C7">
      <w:pPr>
        <w:widowControl w:val="0"/>
        <w:spacing w:line="240" w:lineRule="exact"/>
        <w:rPr>
          <w:rFonts w:ascii="Courier 10cpi" w:hAnsi="Courier 10cpi"/>
          <w:color w:val="FF0000"/>
          <w:lang w:val="en-CA"/>
        </w:rPr>
      </w:pPr>
    </w:p>
    <w:p w:rsidR="005C53C7" w:rsidRDefault="005C53C7">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5C53C7" w:rsidRDefault="005C53C7">
      <w:pPr>
        <w:widowControl w:val="0"/>
        <w:spacing w:line="240" w:lineRule="exact"/>
        <w:rPr>
          <w:rFonts w:ascii="Courier 10cpi" w:hAnsi="Courier 10cpi"/>
          <w:color w:val="FF0000"/>
          <w:lang w:val="en-CA"/>
        </w:rPr>
      </w:pPr>
    </w:p>
    <w:p w:rsidR="005C53C7" w:rsidRDefault="005C53C7">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5C53C7" w:rsidRDefault="005C53C7">
      <w:pPr>
        <w:widowControl w:val="0"/>
        <w:spacing w:line="240" w:lineRule="exact"/>
        <w:rPr>
          <w:rFonts w:ascii="Courier 10cpi" w:hAnsi="Courier 10cpi"/>
          <w:color w:val="FF0000"/>
          <w:lang w:val="en-CA"/>
        </w:rPr>
      </w:pPr>
    </w:p>
    <w:p w:rsidR="005C53C7" w:rsidRDefault="005C53C7">
      <w:pPr>
        <w:widowControl w:val="0"/>
        <w:spacing w:line="240" w:lineRule="exact"/>
        <w:rPr>
          <w:rFonts w:ascii="Courier 10cpi" w:hAnsi="Courier 10cpi"/>
          <w:lang w:val="en-CA"/>
        </w:rPr>
      </w:pPr>
      <w:r>
        <w:rPr>
          <w:rFonts w:ascii="Courier 10cpi" w:hAnsi="Courier 10cpi"/>
          <w:lang w:val="en-CA"/>
        </w:rPr>
        <w:tab/>
        <w:t>L'OBJET DE LA MOTION EST LE SUIVANT : une ordonnance modifiant le jugement [</w:t>
      </w:r>
      <w:r>
        <w:rPr>
          <w:rFonts w:ascii="Courier 10cpi" w:hAnsi="Courier 10cpi"/>
          <w:i/>
          <w:lang w:val="en-CA"/>
        </w:rPr>
        <w:t>ou</w:t>
      </w:r>
      <w:r>
        <w:rPr>
          <w:rFonts w:ascii="Courier 10cpi" w:hAnsi="Courier 10cpi"/>
          <w:lang w:val="en-CA"/>
        </w:rPr>
        <w:t xml:space="preserve"> l'ordonnance </w:t>
      </w:r>
      <w:r>
        <w:rPr>
          <w:rFonts w:ascii="Courier 10cpi" w:hAnsi="Courier 10cpi"/>
          <w:i/>
          <w:lang w:val="en-CA"/>
        </w:rPr>
        <w:t>selon le cas</w:t>
      </w:r>
      <w:r>
        <w:rPr>
          <w:rFonts w:ascii="Courier 10cpi" w:hAnsi="Courier 10cpi"/>
          <w:lang w:val="en-CA"/>
        </w:rPr>
        <w:t>] rendu par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w:t>
      </w:r>
      <w:r>
        <w:rPr>
          <w:rFonts w:ascii="Courier 10cpi" w:hAnsi="Courier 10cpi"/>
          <w:i/>
          <w:lang w:val="en-CA"/>
        </w:rPr>
        <w:t xml:space="preserve"> ou la mention appropriée</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lang w:val="en-CA"/>
        </w:rPr>
      </w:pPr>
      <w:r>
        <w:rPr>
          <w:rFonts w:ascii="Courier 10cpi" w:hAnsi="Courier 10cpi"/>
          <w:lang w:val="en-CA"/>
        </w:rPr>
        <w:tab/>
        <w:t>LES MOYENS À L'APPUI DE LA MOTION SONT LES SUIVANTS :</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jugement [</w:t>
      </w:r>
      <w:r>
        <w:rPr>
          <w:rFonts w:ascii="Courier 10cpi" w:hAnsi="Courier 10cpi"/>
          <w:i/>
          <w:lang w:val="en-CA"/>
        </w:rPr>
        <w:t>ou</w:t>
      </w:r>
      <w:r>
        <w:rPr>
          <w:rFonts w:ascii="Courier 10cpi" w:hAnsi="Courier 10cpi"/>
          <w:lang w:val="en-CA"/>
        </w:rPr>
        <w:t xml:space="preserve"> l'ordonnance </w:t>
      </w:r>
      <w:r>
        <w:rPr>
          <w:rFonts w:ascii="Courier 10cpi" w:hAnsi="Courier 10cpi"/>
          <w:i/>
          <w:lang w:val="en-CA"/>
        </w:rPr>
        <w:t>selon le cas</w:t>
      </w:r>
      <w:r>
        <w:rPr>
          <w:rFonts w:ascii="Courier 10cpi" w:hAnsi="Courier 10cpi"/>
          <w:lang w:val="en-CA"/>
        </w:rPr>
        <w:t>] comporte une erreur d'écriture découlant d'un lapsus ou d'une omission;</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demandeur invoque l'alinéa 59.06(1)a) des Règles de procédure civile.</w:t>
      </w:r>
    </w:p>
    <w:p w:rsidR="005C53C7" w:rsidRDefault="005C53C7">
      <w:pPr>
        <w:widowControl w:val="0"/>
        <w:spacing w:line="240" w:lineRule="exact"/>
        <w:rPr>
          <w:rFonts w:ascii="Courier 10cpi" w:hAnsi="Courier 10cpi"/>
          <w:lang w:val="en-CA"/>
        </w:rPr>
      </w:pPr>
    </w:p>
    <w:p w:rsidR="005C53C7" w:rsidRDefault="005C53C7">
      <w:pPr>
        <w:widowControl w:val="0"/>
        <w:spacing w:line="240" w:lineRule="exact"/>
        <w:rPr>
          <w:rFonts w:ascii="Courier 10cpi" w:hAnsi="Courier 10cpi"/>
          <w:lang w:val="en-CA"/>
        </w:rPr>
      </w:pPr>
      <w:r>
        <w:rPr>
          <w:rFonts w:ascii="Courier 10cpi" w:hAnsi="Courier 10cpi"/>
          <w:lang w:val="en-CA"/>
        </w:rPr>
        <w:tab/>
        <w:t>LA PREUVE DOCUMENTAIRE SUIVANTE sera utilisée lors de l'audition de la motion :</w:t>
      </w:r>
    </w:p>
    <w:p w:rsidR="005C53C7" w:rsidRDefault="005C53C7">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le jugement [</w:t>
      </w:r>
      <w:r>
        <w:rPr>
          <w:rFonts w:ascii="Courier 10cpi" w:hAnsi="Courier 10cpi"/>
          <w:i/>
          <w:lang w:val="en-CA"/>
        </w:rPr>
        <w:t>ou</w:t>
      </w:r>
      <w:r>
        <w:rPr>
          <w:rFonts w:ascii="Courier 10cpi" w:hAnsi="Courier 10cpi"/>
          <w:lang w:val="en-CA"/>
        </w:rPr>
        <w:t xml:space="preserve"> l'ordonnance </w:t>
      </w:r>
      <w:r>
        <w:rPr>
          <w:rFonts w:ascii="Courier 10cpi" w:hAnsi="Courier 10cpi"/>
          <w:i/>
          <w:lang w:val="en-CA"/>
        </w:rPr>
        <w:t>selon le cas</w:t>
      </w:r>
      <w:r>
        <w:rPr>
          <w:rFonts w:ascii="Courier 10cpi" w:hAnsi="Courier 10cpi"/>
          <w:lang w:val="en-CA"/>
        </w:rPr>
        <w:t>]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w:t>
      </w:r>
    </w:p>
    <w:p w:rsidR="005C53C7" w:rsidRDefault="005C53C7">
      <w:pPr>
        <w:widowControl w:val="0"/>
        <w:spacing w:line="240" w:lineRule="exact"/>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5C53C7" w:rsidRDefault="005C53C7">
      <w:pPr>
        <w:widowControl w:val="0"/>
        <w:spacing w:line="240" w:lineRule="exact"/>
        <w:rPr>
          <w:rFonts w:ascii="Courier 10cpi" w:hAnsi="Courier 10cpi"/>
          <w:lang w:val="en-CA"/>
        </w:rPr>
      </w:pPr>
    </w:p>
    <w:p w:rsidR="005C53C7" w:rsidRDefault="005C53C7">
      <w:pPr>
        <w:widowControl w:val="0"/>
        <w:tabs>
          <w:tab w:val="left" w:pos="-1440"/>
          <w:tab w:val="left" w:pos="-720"/>
          <w:tab w:val="left" w:pos="0"/>
          <w:tab w:val="left" w:pos="72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5C53C7" w:rsidRDefault="005C53C7">
      <w:pPr>
        <w:widowControl w:val="0"/>
        <w:tabs>
          <w:tab w:val="left" w:pos="-1440"/>
          <w:tab w:val="left" w:pos="-720"/>
          <w:tab w:val="left" w:pos="0"/>
          <w:tab w:val="left" w:pos="72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5C53C7" w:rsidRDefault="005C53C7">
      <w:pPr>
        <w:widowControl w:val="0"/>
        <w:tabs>
          <w:tab w:val="left" w:pos="-1440"/>
          <w:tab w:val="left" w:pos="-720"/>
          <w:tab w:val="left" w:pos="0"/>
          <w:tab w:val="left" w:pos="72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t>procureurs du demandeur</w:t>
      </w:r>
    </w:p>
    <w:p w:rsidR="005C53C7" w:rsidRDefault="005C53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5C53C7" w:rsidRDefault="005C53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5C53C7" w:rsidRDefault="005C53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5C53C7" w:rsidRDefault="005C53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sectPr w:rsidR="005C53C7" w:rsidSect="005C53C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3C7"/>
    <w:rsid w:val="005C53C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