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9E0" w:rsidRDefault="002459E0">
      <w:pPr>
        <w:widowControl w:val="0"/>
        <w:tabs>
          <w:tab w:val="center" w:pos="4680"/>
        </w:tabs>
        <w:spacing w:line="240" w:lineRule="exact"/>
        <w:jc w:val="both"/>
        <w:rPr>
          <w:rFonts w:ascii="Courier 10cpi" w:hAnsi="Courier 10cpi"/>
          <w:lang w:val="en-CA"/>
        </w:rPr>
      </w:pPr>
      <w:r>
        <w:fldChar w:fldCharType="begin"/>
      </w:r>
      <w:r>
        <w:instrText xml:space="preserve"> SEQ CHAPTER \h \r 1</w:instrText>
      </w:r>
      <w:r>
        <w:fldChar w:fldCharType="end"/>
      </w:r>
      <w:r>
        <w:rPr>
          <w:rFonts w:ascii="Courier 10cpi" w:hAnsi="Courier 10cpi"/>
          <w:lang w:val="en-CA"/>
        </w:rPr>
        <w:tab/>
      </w:r>
      <w:r>
        <w:rPr>
          <w:rFonts w:ascii="Courier 10cpi" w:hAnsi="Courier 10cpi"/>
          <w:b/>
          <w:lang w:val="en-CA"/>
        </w:rPr>
        <w:t>B. MISE EN POSSESSION D'UN BIEN-FONDS</w:t>
      </w:r>
    </w:p>
    <w:p w:rsidR="002459E0" w:rsidRDefault="002459E0">
      <w:pPr>
        <w:widowControl w:val="0"/>
        <w:spacing w:line="240" w:lineRule="exact"/>
        <w:rPr>
          <w:rFonts w:ascii="Courier 10cpi" w:hAnsi="Courier 10cpi"/>
          <w:lang w:val="en-CA"/>
        </w:rPr>
      </w:pPr>
    </w:p>
    <w:p w:rsidR="002459E0" w:rsidRDefault="002459E0">
      <w:pPr>
        <w:widowControl w:val="0"/>
        <w:spacing w:line="240" w:lineRule="exact"/>
        <w:rPr>
          <w:rFonts w:ascii="Courier 10cpi" w:hAnsi="Courier 10cpi"/>
          <w:lang w:val="en-CA"/>
        </w:rPr>
      </w:pPr>
      <w:r>
        <w:rPr>
          <w:rFonts w:ascii="Courier 10cpi" w:hAnsi="Courier 10cpi"/>
          <w:b/>
          <w:lang w:val="en-CA"/>
        </w:rPr>
        <w:t>REMARQUE</w:t>
      </w:r>
      <w:r>
        <w:rPr>
          <w:rFonts w:ascii="Courier 10cpi" w:hAnsi="Courier 10cpi"/>
          <w:lang w:val="en-CA"/>
        </w:rPr>
        <w:t xml:space="preserve"> : En vertu de la règle 60.03 des Règles de procédure civile, une ordonnance de restitution ou de délaissement d'un bien-fonds peut être exécutée au moyen d'un bref de mise en possession </w:t>
      </w:r>
      <w:r>
        <w:rPr>
          <w:rFonts w:ascii="Courier 10cpi" w:hAnsi="Courier 10cpi"/>
          <w:color w:val="FF0000"/>
          <w:lang w:val="en-CA"/>
        </w:rPr>
        <w:t>(formule 60C)</w:t>
      </w:r>
      <w:r>
        <w:rPr>
          <w:rFonts w:ascii="Courier 10cpi" w:hAnsi="Courier 10cpi"/>
          <w:lang w:val="en-CA"/>
        </w:rPr>
        <w:t xml:space="preserve"> en application de la règle 60.10.</w:t>
      </w:r>
    </w:p>
    <w:p w:rsidR="002459E0" w:rsidRDefault="002459E0">
      <w:pPr>
        <w:widowControl w:val="0"/>
        <w:spacing w:line="240" w:lineRule="exact"/>
        <w:rPr>
          <w:rFonts w:ascii="Courier 10cpi" w:hAnsi="Courier 10cpi"/>
          <w:lang w:val="en-CA"/>
        </w:rPr>
      </w:pPr>
    </w:p>
    <w:p w:rsidR="002459E0" w:rsidRDefault="002459E0">
      <w:pPr>
        <w:widowControl w:val="0"/>
        <w:spacing w:line="240" w:lineRule="exact"/>
        <w:rPr>
          <w:rFonts w:ascii="Courier 10cpi" w:hAnsi="Courier 10cpi"/>
          <w:color w:val="FF0000"/>
          <w:lang w:val="en-CA"/>
        </w:rPr>
      </w:pPr>
      <w:r>
        <w:rPr>
          <w:rFonts w:ascii="Courier 10cpi" w:hAnsi="Courier 10cpi"/>
          <w:lang w:val="en-CA"/>
        </w:rPr>
        <w:t xml:space="preserve">Le paragraphe 60.10(1) prévoit qu'un bref de mise en possession ne peut être délivré qu'avec l'autorisation du tribunal, accordée par voie de motion sans préavis ou avec l'ordonnance fondant le droit de possession d'une partie. Le tribunal ne peut accorder l'autorisation de délivrer un bref de mise en possession que s'il est convaincu que toutes les personnes ayant la possession de fait d'une partie du bien-fonds ont été avisées de l'instance dans laquelle l'ordonnance a été rendue suffisamment à l'avance pour pouvoir demander des mesures de redressement au tribunal : </w:t>
      </w:r>
      <w:r>
        <w:rPr>
          <w:rFonts w:ascii="Courier 10cpi" w:hAnsi="Courier 10cpi"/>
          <w:color w:val="FF0000"/>
          <w:lang w:val="en-CA"/>
        </w:rPr>
        <w:t>paragraphe 60.10(2)</w:t>
      </w:r>
      <w:r>
        <w:rPr>
          <w:rFonts w:ascii="Courier 10cpi" w:hAnsi="Courier 10cpi"/>
          <w:lang w:val="en-CA"/>
        </w:rPr>
        <w:t xml:space="preserve">. </w:t>
      </w:r>
      <w:r>
        <w:rPr>
          <w:rFonts w:ascii="Courier 10cpi" w:hAnsi="Courier 10cpi"/>
          <w:color w:val="FF0000"/>
          <w:lang w:val="en-CA"/>
        </w:rPr>
        <w:t xml:space="preserve">Lorsqu'il examine la demande d'autorisation, le tribunal limite son enquête à la question de savoir si le demandeur a pris toutes les mesures voulues pour que toutes les personnes ayant la possession de fait du bien-fonds soient avisées en temps utile de la demande de mise en possession. Le tribunal ne tient donc pas compte du préjudice qui peut en résulter pour le défendeur  : </w:t>
      </w:r>
      <w:r>
        <w:rPr>
          <w:rFonts w:ascii="Courier 10cpi" w:hAnsi="Courier 10cpi"/>
          <w:i/>
          <w:color w:val="FF0000"/>
          <w:lang w:val="en-CA"/>
        </w:rPr>
        <w:t>Canada Trustco Mortgage Co. v. McLean; Canada Permanent Trust Co. v. Newman</w:t>
      </w:r>
      <w:r>
        <w:rPr>
          <w:rFonts w:ascii="Courier 10cpi" w:hAnsi="Courier 10cpi"/>
          <w:color w:val="FF0000"/>
          <w:lang w:val="en-CA"/>
        </w:rPr>
        <w:t xml:space="preserve">, (1983) 33 C.P.C. 117, 143 D.L.R. (3d) 101 (H.C. Ont.). Dans l'affaire </w:t>
      </w:r>
      <w:r>
        <w:rPr>
          <w:rFonts w:ascii="Courier 10cpi" w:hAnsi="Courier 10cpi"/>
          <w:i/>
          <w:color w:val="FF0000"/>
          <w:lang w:val="en-CA"/>
        </w:rPr>
        <w:t>Jamort Investments Ltd. v. FitzGerald</w:t>
      </w:r>
      <w:r>
        <w:rPr>
          <w:rFonts w:ascii="Courier 10cpi" w:hAnsi="Courier 10cpi"/>
          <w:color w:val="FF0000"/>
          <w:lang w:val="en-CA"/>
        </w:rPr>
        <w:t>, [1968] 1 O.R. 541 (Protonotaire), on trouvera une analyse de la nature et du but de l'avis qui doit être donné aux personnes ayant la possession de fait du bien-fonds, ainsi qu'une analyse  de la nature des documents qui doivent être présentés au tribunal.</w:t>
      </w:r>
    </w:p>
    <w:p w:rsidR="002459E0" w:rsidRDefault="002459E0">
      <w:pPr>
        <w:widowControl w:val="0"/>
        <w:spacing w:line="240" w:lineRule="exact"/>
        <w:rPr>
          <w:rFonts w:ascii="Courier 10cpi" w:hAnsi="Courier 10cpi"/>
          <w:color w:val="FF0000"/>
          <w:lang w:val="en-CA"/>
        </w:rPr>
      </w:pPr>
    </w:p>
    <w:p w:rsidR="002459E0" w:rsidRDefault="002459E0">
      <w:pPr>
        <w:widowControl w:val="0"/>
        <w:spacing w:line="240" w:lineRule="exact"/>
        <w:rPr>
          <w:rFonts w:ascii="Courier 10cpi" w:hAnsi="Courier 10cpi"/>
          <w:color w:val="FF0000"/>
          <w:lang w:val="en-CA"/>
        </w:rPr>
      </w:pPr>
      <w:r>
        <w:rPr>
          <w:rFonts w:ascii="Courier 10cpi" w:hAnsi="Courier 10cpi"/>
          <w:color w:val="FF0000"/>
          <w:lang w:val="en-CA"/>
        </w:rPr>
        <w:t xml:space="preserve">Le bref de mise en possession reste en vigueur pendant une année à compter de la date de l'ordonnance autorisant sa délivrance et peut être renouvelé avant son expiration, par ordonnance, pour une période d'une année à compter de chaque renouvellement : paragraphe 60.10(3). La prescription d'un an ne s'applique pas au bref délivré en vertu l'alinéa 113(1)b) de la </w:t>
      </w:r>
      <w:r>
        <w:rPr>
          <w:rFonts w:ascii="Courier 10cpi" w:hAnsi="Courier 10cpi"/>
          <w:i/>
          <w:color w:val="FF0000"/>
          <w:lang w:val="en-CA"/>
        </w:rPr>
        <w:t>Loi sur la location immobilière</w:t>
      </w:r>
      <w:r>
        <w:rPr>
          <w:rFonts w:ascii="Courier 10cpi" w:hAnsi="Courier 10cpi"/>
          <w:color w:val="FF0000"/>
          <w:lang w:val="en-CA"/>
        </w:rPr>
        <w:t xml:space="preserve">, L.R.O. 1990, chap. L.7 et rédigé selon la formule 3 de cette loi (voir le modèle 58:B:6 présenté au chapitre 58) : </w:t>
      </w:r>
      <w:r>
        <w:rPr>
          <w:rFonts w:ascii="Courier 10cpi" w:hAnsi="Courier 10cpi"/>
          <w:i/>
          <w:color w:val="FF0000"/>
          <w:lang w:val="en-CA"/>
        </w:rPr>
        <w:t>Re Municipality of Metro Toronto and Bremner (No. 2)</w:t>
      </w:r>
      <w:r>
        <w:rPr>
          <w:rFonts w:ascii="Courier 10cpi" w:hAnsi="Courier 10cpi"/>
          <w:color w:val="FF0000"/>
          <w:lang w:val="en-CA"/>
        </w:rPr>
        <w:t xml:space="preserve">, (1986) 30 O.R. (2d) 385, 18 C.P.C. 179 (C.A.). </w:t>
      </w:r>
    </w:p>
    <w:p w:rsidR="002459E0" w:rsidRDefault="002459E0">
      <w:pPr>
        <w:widowControl w:val="0"/>
        <w:spacing w:line="240" w:lineRule="exact"/>
        <w:rPr>
          <w:rFonts w:ascii="Courier 10cpi" w:hAnsi="Courier 10cpi"/>
          <w:color w:val="FF0000"/>
          <w:lang w:val="en-CA"/>
        </w:rPr>
      </w:pPr>
    </w:p>
    <w:p w:rsidR="002459E0" w:rsidRDefault="002459E0">
      <w:pPr>
        <w:widowControl w:val="0"/>
        <w:spacing w:line="240" w:lineRule="exact"/>
        <w:rPr>
          <w:rFonts w:ascii="Courier 10cpi" w:hAnsi="Courier 10cpi"/>
          <w:lang w:val="en-CA"/>
        </w:rPr>
      </w:pPr>
      <w:r>
        <w:rPr>
          <w:rFonts w:ascii="Courier 10cpi" w:hAnsi="Courier 10cpi"/>
          <w:color w:val="FF0000"/>
          <w:lang w:val="en-CA"/>
        </w:rPr>
        <w:t xml:space="preserve">Si l'époux qui est en possession d'un bien-fonds hypothéqué n'est pas désigné comme une partie dans l'instance qui est introduite pour obtenir la mise en possession, le tribunal refusera d'autoriser la délivrance du bref de mise en possession ou il annulera le bref qui a déjà été autorisé :  </w:t>
      </w:r>
      <w:r>
        <w:rPr>
          <w:rFonts w:ascii="Courier 10cpi" w:hAnsi="Courier 10cpi"/>
          <w:i/>
          <w:color w:val="FF0000"/>
          <w:lang w:val="en-CA"/>
        </w:rPr>
        <w:t>Community Trust Co. Ltd. v. Hurst</w:t>
      </w:r>
      <w:r>
        <w:rPr>
          <w:rFonts w:ascii="Courier 10cpi" w:hAnsi="Courier 10cpi"/>
          <w:color w:val="FF0000"/>
          <w:lang w:val="en-CA"/>
        </w:rPr>
        <w:t xml:space="preserve">, (1989) 71 O.R. (2d) 294 (H.C.). Avant de pouvoir demander la délivrance d'un bref de mise en possession, le créancier hypothécaire doit poursuivre tous les débiteurs hypothécaires et obtenir un jugement de mise en possession contre eux : </w:t>
      </w:r>
      <w:r>
        <w:rPr>
          <w:rFonts w:ascii="Courier 10cpi" w:hAnsi="Courier 10cpi"/>
          <w:i/>
          <w:color w:val="FF0000"/>
          <w:lang w:val="en-CA"/>
        </w:rPr>
        <w:t>Kinross Mortgage Corp. v. Balfour</w:t>
      </w:r>
      <w:r>
        <w:rPr>
          <w:rFonts w:ascii="Courier 10cpi" w:hAnsi="Courier 10cpi"/>
          <w:color w:val="FF0000"/>
          <w:lang w:val="en-CA"/>
        </w:rPr>
        <w:t xml:space="preserve">, (1981) 33 O.R. (2d) 213, 22 C.P.C. 161 (C.S.). Le créancier hypothécaire qui a obtenu un jugement de mise en possession a le droit d'obtenir un bref de mise en possession contre le locataire d'un logement sans lui donner l'avis de résiliation du bail prévu par la </w:t>
      </w:r>
      <w:r>
        <w:rPr>
          <w:rFonts w:ascii="Courier 10cpi" w:hAnsi="Courier 10cpi"/>
          <w:i/>
          <w:color w:val="FF0000"/>
          <w:lang w:val="en-CA"/>
        </w:rPr>
        <w:t>Loi sur la location immobilière</w:t>
      </w:r>
      <w:r>
        <w:rPr>
          <w:rFonts w:ascii="Courier 10cpi" w:hAnsi="Courier 10cpi"/>
          <w:color w:val="FF0000"/>
          <w:lang w:val="en-CA"/>
        </w:rPr>
        <w:t xml:space="preserve"> : </w:t>
      </w:r>
      <w:r>
        <w:rPr>
          <w:rFonts w:ascii="Courier 10cpi" w:hAnsi="Courier 10cpi"/>
          <w:i/>
          <w:color w:val="FF0000"/>
          <w:lang w:val="en-CA"/>
        </w:rPr>
        <w:t>Canada Trustco Mortgage Co. v. Hurst</w:t>
      </w:r>
      <w:r>
        <w:rPr>
          <w:rFonts w:ascii="Courier 10cpi" w:hAnsi="Courier 10cpi"/>
          <w:color w:val="FF0000"/>
          <w:lang w:val="en-CA"/>
        </w:rPr>
        <w:t xml:space="preserve">, (1989) 71 O.R. (2d) 294 (H.C.). Le tribunal a annulé une ordonnance de mise en possession qui avait été obtenue avant le procès en constatant que d'autres questions soulevées dans l'action devaient peut-être être tranchées à l'instruction : </w:t>
      </w:r>
      <w:r>
        <w:rPr>
          <w:rFonts w:ascii="Courier 10cpi" w:hAnsi="Courier 10cpi"/>
          <w:i/>
          <w:color w:val="FF0000"/>
          <w:lang w:val="en-CA"/>
        </w:rPr>
        <w:t>Blatnick v. Walklin Investments Ltd.</w:t>
      </w:r>
      <w:r>
        <w:rPr>
          <w:rFonts w:ascii="Courier 10cpi" w:hAnsi="Courier 10cpi"/>
          <w:color w:val="FF0000"/>
          <w:lang w:val="en-CA"/>
        </w:rPr>
        <w:t>, (1990) 75 O.R. (2d) 194, p. 202 (C.A.)</w:t>
      </w:r>
      <w:r>
        <w:rPr>
          <w:rFonts w:ascii="Courier 10cpi" w:hAnsi="Courier 10cpi"/>
          <w:lang w:val="en-CA"/>
        </w:rPr>
        <w:t>.</w:t>
      </w:r>
    </w:p>
    <w:p w:rsidR="002459E0" w:rsidRDefault="002459E0">
      <w:pPr>
        <w:widowControl w:val="0"/>
        <w:spacing w:line="240" w:lineRule="exact"/>
        <w:rPr>
          <w:rFonts w:ascii="Courier 10cpi" w:hAnsi="Courier 10cpi"/>
          <w:lang w:val="en-CA"/>
        </w:rPr>
      </w:pPr>
    </w:p>
    <w:p w:rsidR="002459E0" w:rsidRDefault="002459E0">
      <w:pPr>
        <w:widowControl w:val="0"/>
        <w:spacing w:line="240" w:lineRule="exact"/>
        <w:rPr>
          <w:rFonts w:ascii="Courier 10cpi" w:hAnsi="Courier 10cpi"/>
          <w:lang w:val="en-CA"/>
        </w:rPr>
      </w:pPr>
    </w:p>
    <w:p w:rsidR="002459E0" w:rsidRDefault="002459E0">
      <w:pPr>
        <w:widowControl w:val="0"/>
        <w:tabs>
          <w:tab w:val="center" w:pos="4680"/>
        </w:tabs>
        <w:spacing w:line="240" w:lineRule="exact"/>
        <w:rPr>
          <w:rFonts w:ascii="Courier 10cpi" w:hAnsi="Courier 10cpi"/>
          <w:lang w:val="en-CA"/>
        </w:rPr>
      </w:pPr>
      <w:r>
        <w:rPr>
          <w:rFonts w:ascii="Courier 10cpi" w:hAnsi="Courier 10cpi"/>
          <w:lang w:val="en-CA"/>
        </w:rPr>
        <w:tab/>
      </w:r>
      <w:r>
        <w:rPr>
          <w:rFonts w:ascii="Courier 10cpi" w:hAnsi="Courier 10cpi"/>
          <w:b/>
          <w:lang w:val="en-CA"/>
        </w:rPr>
        <w:t>[85:B:1]</w:t>
      </w:r>
      <w:r>
        <w:rPr>
          <w:rFonts w:ascii="Courier 10cpi" w:hAnsi="Courier 10cpi"/>
          <w:lang w:val="en-CA"/>
        </w:rPr>
        <w:t xml:space="preserve"> </w:t>
      </w:r>
    </w:p>
    <w:p w:rsidR="002459E0" w:rsidRDefault="002459E0">
      <w:pPr>
        <w:widowControl w:val="0"/>
        <w:spacing w:line="240" w:lineRule="exact"/>
        <w:rPr>
          <w:rFonts w:ascii="Courier 10cpi" w:hAnsi="Courier 10cpi"/>
          <w:lang w:val="en-CA"/>
        </w:rPr>
      </w:pPr>
    </w:p>
    <w:p w:rsidR="002459E0" w:rsidRDefault="002459E0">
      <w:pPr>
        <w:widowControl w:val="0"/>
        <w:tabs>
          <w:tab w:val="center" w:pos="4680"/>
        </w:tabs>
        <w:spacing w:line="240" w:lineRule="exact"/>
        <w:rPr>
          <w:rFonts w:ascii="Courier 10cpi" w:hAnsi="Courier 10cpi"/>
          <w:lang w:val="en-CA"/>
        </w:rPr>
      </w:pPr>
      <w:r>
        <w:rPr>
          <w:rFonts w:ascii="Courier 10cpi" w:hAnsi="Courier 10cpi"/>
          <w:lang w:val="en-CA"/>
        </w:rPr>
        <w:tab/>
      </w:r>
      <w:r>
        <w:rPr>
          <w:rFonts w:ascii="Courier 10cpi" w:hAnsi="Courier 10cpi"/>
          <w:b/>
          <w:u w:val="single"/>
          <w:lang w:val="en-CA"/>
        </w:rPr>
        <w:t>Avis de motion</w:t>
      </w:r>
    </w:p>
    <w:p w:rsidR="002459E0" w:rsidRDefault="002459E0">
      <w:pPr>
        <w:widowControl w:val="0"/>
        <w:spacing w:line="240" w:lineRule="exact"/>
        <w:rPr>
          <w:rFonts w:ascii="Courier 10cpi" w:hAnsi="Courier 10cpi"/>
          <w:lang w:val="en-CA"/>
        </w:rPr>
      </w:pPr>
    </w:p>
    <w:p w:rsidR="002459E0" w:rsidRDefault="002459E0">
      <w:pPr>
        <w:widowControl w:val="0"/>
        <w:tabs>
          <w:tab w:val="right" w:pos="9359"/>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2459E0" w:rsidRDefault="002459E0">
      <w:pPr>
        <w:widowControl w:val="0"/>
        <w:spacing w:line="240" w:lineRule="exact"/>
        <w:rPr>
          <w:rFonts w:ascii="Courier 10cpi" w:hAnsi="Courier 10cpi"/>
          <w:lang w:val="en-CA"/>
        </w:rPr>
      </w:pPr>
    </w:p>
    <w:p w:rsidR="002459E0" w:rsidRDefault="002459E0">
      <w:pPr>
        <w:widowControl w:val="0"/>
        <w:tabs>
          <w:tab w:val="center" w:pos="4680"/>
        </w:tabs>
        <w:spacing w:line="240" w:lineRule="exact"/>
        <w:rPr>
          <w:rFonts w:ascii="Courier 10cpi" w:hAnsi="Courier 10cpi"/>
          <w:lang w:val="en-CA"/>
        </w:rPr>
      </w:pPr>
      <w:r>
        <w:rPr>
          <w:rFonts w:ascii="Courier 10cpi" w:hAnsi="Courier 10cpi"/>
          <w:lang w:val="en-CA"/>
        </w:rPr>
        <w:tab/>
        <w:t>COUR DE L'ONTARIO (DIVISION GÉNÉRALE)</w:t>
      </w:r>
    </w:p>
    <w:p w:rsidR="002459E0" w:rsidRDefault="002459E0">
      <w:pPr>
        <w:widowControl w:val="0"/>
        <w:spacing w:line="240" w:lineRule="exact"/>
        <w:rPr>
          <w:rFonts w:ascii="Courier 10cpi" w:hAnsi="Courier 10cpi"/>
          <w:lang w:val="en-CA"/>
        </w:rPr>
      </w:pPr>
    </w:p>
    <w:p w:rsidR="002459E0" w:rsidRDefault="002459E0">
      <w:pPr>
        <w:widowControl w:val="0"/>
        <w:tabs>
          <w:tab w:val="center" w:pos="4680"/>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intitulé de l'instance</w:t>
      </w:r>
      <w:r>
        <w:rPr>
          <w:rFonts w:ascii="Courier 10cpi" w:hAnsi="Courier 10cpi"/>
          <w:lang w:val="en-CA"/>
        </w:rPr>
        <w:t>]</w:t>
      </w:r>
    </w:p>
    <w:p w:rsidR="002459E0" w:rsidRDefault="002459E0">
      <w:pPr>
        <w:widowControl w:val="0"/>
        <w:spacing w:line="240" w:lineRule="exact"/>
        <w:rPr>
          <w:rFonts w:ascii="Courier 10cpi" w:hAnsi="Courier 10cpi"/>
          <w:lang w:val="en-CA"/>
        </w:rPr>
      </w:pPr>
    </w:p>
    <w:p w:rsidR="002459E0" w:rsidRDefault="002459E0">
      <w:pPr>
        <w:widowControl w:val="0"/>
        <w:tabs>
          <w:tab w:val="center" w:pos="4680"/>
        </w:tabs>
        <w:spacing w:line="240" w:lineRule="exact"/>
        <w:rPr>
          <w:rFonts w:ascii="Courier 10cpi" w:hAnsi="Courier 10cpi"/>
          <w:lang w:val="en-CA"/>
        </w:rPr>
      </w:pPr>
      <w:r>
        <w:rPr>
          <w:rFonts w:ascii="Courier 10cpi" w:hAnsi="Courier 10cpi"/>
          <w:lang w:val="en-CA"/>
        </w:rPr>
        <w:tab/>
        <w:t>AVIS DE MOTION</w:t>
      </w:r>
    </w:p>
    <w:p w:rsidR="002459E0" w:rsidRDefault="002459E0">
      <w:pPr>
        <w:widowControl w:val="0"/>
        <w:spacing w:line="240" w:lineRule="exact"/>
        <w:rPr>
          <w:rFonts w:ascii="Courier 10cpi" w:hAnsi="Courier 10cpi"/>
          <w:lang w:val="en-CA"/>
        </w:rPr>
      </w:pPr>
    </w:p>
    <w:p w:rsidR="002459E0" w:rsidRDefault="002459E0">
      <w:pPr>
        <w:widowControl w:val="0"/>
        <w:spacing w:line="240" w:lineRule="exact"/>
        <w:rPr>
          <w:rFonts w:ascii="Courier 10cpi" w:hAnsi="Courier 10cpi"/>
          <w:lang w:val="en-CA"/>
        </w:rPr>
      </w:pPr>
      <w:r>
        <w:rPr>
          <w:rFonts w:ascii="Courier 10cpi" w:hAnsi="Courier 10cpi"/>
          <w:lang w:val="en-CA"/>
        </w:rPr>
        <w:tab/>
        <w:t>Le demandeur présentera une motion au tribunal le [</w:t>
      </w:r>
      <w:r>
        <w:rPr>
          <w:rFonts w:ascii="Courier 10cpi" w:hAnsi="Courier 10cpi"/>
          <w:i/>
          <w:lang w:val="en-CA"/>
        </w:rPr>
        <w:t>jour</w:t>
      </w:r>
      <w:r>
        <w:rPr>
          <w:rFonts w:ascii="Courier 10cpi" w:hAnsi="Courier 10cpi"/>
          <w:lang w:val="en-CA"/>
        </w:rPr>
        <w:t>] [</w:t>
      </w:r>
      <w:r>
        <w:rPr>
          <w:rFonts w:ascii="Courier 10cpi" w:hAnsi="Courier 10cpi"/>
          <w:i/>
          <w:lang w:val="en-CA"/>
        </w:rPr>
        <w:t>date</w:t>
      </w:r>
      <w:r>
        <w:rPr>
          <w:rFonts w:ascii="Courier 10cpi" w:hAnsi="Courier 10cpi"/>
          <w:lang w:val="en-CA"/>
        </w:rPr>
        <w:t>], à [</w:t>
      </w:r>
      <w:r>
        <w:rPr>
          <w:rFonts w:ascii="Courier 10cpi" w:hAnsi="Courier 10cpi"/>
          <w:i/>
          <w:lang w:val="en-CA"/>
        </w:rPr>
        <w:t>heure</w:t>
      </w:r>
      <w:r>
        <w:rPr>
          <w:rFonts w:ascii="Courier 10cpi" w:hAnsi="Courier 10cpi"/>
          <w:lang w:val="en-CA"/>
        </w:rPr>
        <w:t>], ou dès que possible par la suite, à/au [</w:t>
      </w:r>
      <w:r>
        <w:rPr>
          <w:rFonts w:ascii="Courier 10cpi" w:hAnsi="Courier 10cpi"/>
          <w:i/>
          <w:lang w:val="en-CA"/>
        </w:rPr>
        <w:t>adresse du palais de justice</w:t>
      </w:r>
      <w:r>
        <w:rPr>
          <w:rFonts w:ascii="Courier 10cpi" w:hAnsi="Courier 10cpi"/>
          <w:lang w:val="en-CA"/>
        </w:rPr>
        <w:t>].</w:t>
      </w:r>
    </w:p>
    <w:p w:rsidR="002459E0" w:rsidRDefault="002459E0">
      <w:pPr>
        <w:widowControl w:val="0"/>
        <w:spacing w:line="240" w:lineRule="exact"/>
        <w:rPr>
          <w:rFonts w:ascii="Courier 10cpi" w:hAnsi="Courier 10cpi"/>
          <w:lang w:val="en-CA"/>
        </w:rPr>
      </w:pPr>
    </w:p>
    <w:p w:rsidR="002459E0" w:rsidRDefault="002459E0">
      <w:pPr>
        <w:widowControl w:val="0"/>
        <w:spacing w:line="240" w:lineRule="exact"/>
        <w:rPr>
          <w:rFonts w:ascii="Courier 10cpi" w:hAnsi="Courier 10cpi"/>
          <w:color w:val="FF0000"/>
          <w:lang w:val="en-CA"/>
        </w:rPr>
      </w:pPr>
      <w:r>
        <w:rPr>
          <w:rFonts w:ascii="Courier 10cpi" w:hAnsi="Courier 10cpi"/>
          <w:color w:val="FF0000"/>
          <w:lang w:val="en-CA"/>
        </w:rPr>
        <w:tab/>
        <w:t>TYPE D'AUDIENCE PROPOSÉ : Je propose que la motion soit entendue [</w:t>
      </w:r>
      <w:r>
        <w:rPr>
          <w:rFonts w:ascii="Courier 10cpi" w:hAnsi="Courier 10cpi"/>
          <w:i/>
          <w:color w:val="FF0000"/>
          <w:lang w:val="en-CA"/>
        </w:rPr>
        <w:t>cocher la case appropriée</w:t>
      </w:r>
      <w:r>
        <w:rPr>
          <w:rFonts w:ascii="Courier 10cpi" w:hAnsi="Courier 10cpi"/>
          <w:color w:val="FF0000"/>
          <w:lang w:val="en-CA"/>
        </w:rPr>
        <w:t>]</w:t>
      </w:r>
    </w:p>
    <w:p w:rsidR="002459E0" w:rsidRDefault="002459E0">
      <w:pPr>
        <w:widowControl w:val="0"/>
        <w:spacing w:line="240" w:lineRule="exact"/>
        <w:rPr>
          <w:rFonts w:ascii="Courier 10cpi" w:hAnsi="Courier 10cpi"/>
          <w:color w:val="FF0000"/>
          <w:lang w:val="en-CA"/>
        </w:rPr>
      </w:pPr>
    </w:p>
    <w:p w:rsidR="002459E0" w:rsidRDefault="002459E0">
      <w:pPr>
        <w:widowControl w:val="0"/>
        <w:spacing w:line="240" w:lineRule="exact"/>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sur pièces en vertu du paragraphe 37.12.1(1), parce qu'elle (</w:t>
      </w:r>
      <w:r>
        <w:rPr>
          <w:rFonts w:ascii="Courier 10cpi" w:hAnsi="Courier 10cpi"/>
          <w:i/>
          <w:color w:val="FF0000"/>
          <w:lang w:val="en-CA"/>
        </w:rPr>
        <w:t>rayer la mention inutile</w:t>
      </w:r>
      <w:r>
        <w:rPr>
          <w:rFonts w:ascii="Courier 10cpi" w:hAnsi="Courier 10cpi"/>
          <w:color w:val="FF0000"/>
          <w:lang w:val="en-CA"/>
        </w:rPr>
        <w:t xml:space="preserve"> est présentée sur consentement, n'est pas contestée, présentée sans préavis);</w:t>
      </w:r>
    </w:p>
    <w:p w:rsidR="002459E0" w:rsidRDefault="002459E0">
      <w:pPr>
        <w:widowControl w:val="0"/>
        <w:spacing w:line="240" w:lineRule="exact"/>
        <w:rPr>
          <w:rFonts w:ascii="Courier 10cpi" w:hAnsi="Courier 10cpi"/>
          <w:color w:val="FF0000"/>
          <w:lang w:val="en-CA"/>
        </w:rPr>
      </w:pPr>
    </w:p>
    <w:p w:rsidR="002459E0" w:rsidRDefault="002459E0">
      <w:pPr>
        <w:widowControl w:val="0"/>
        <w:spacing w:line="240" w:lineRule="exact"/>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sur pièces sous forme d'une motion contestée en vertu du paragraphe 37.12.1(4);</w:t>
      </w:r>
    </w:p>
    <w:p w:rsidR="002459E0" w:rsidRDefault="002459E0">
      <w:pPr>
        <w:widowControl w:val="0"/>
        <w:spacing w:line="240" w:lineRule="exact"/>
        <w:rPr>
          <w:rFonts w:ascii="Courier 10cpi" w:hAnsi="Courier 10cpi"/>
          <w:color w:val="FF0000"/>
          <w:lang w:val="en-CA"/>
        </w:rPr>
      </w:pPr>
    </w:p>
    <w:p w:rsidR="002459E0" w:rsidRDefault="002459E0">
      <w:pPr>
        <w:widowControl w:val="0"/>
        <w:spacing w:line="240" w:lineRule="exact"/>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oralement.</w:t>
      </w:r>
    </w:p>
    <w:p w:rsidR="002459E0" w:rsidRDefault="002459E0">
      <w:pPr>
        <w:widowControl w:val="0"/>
        <w:spacing w:line="240" w:lineRule="exact"/>
        <w:rPr>
          <w:rFonts w:ascii="Courier 10cpi" w:hAnsi="Courier 10cpi"/>
          <w:color w:val="FF0000"/>
          <w:lang w:val="en-CA"/>
        </w:rPr>
      </w:pPr>
    </w:p>
    <w:p w:rsidR="002459E0" w:rsidRDefault="002459E0">
      <w:pPr>
        <w:widowControl w:val="0"/>
        <w:spacing w:line="240" w:lineRule="exact"/>
        <w:rPr>
          <w:rFonts w:ascii="Courier 10cpi" w:hAnsi="Courier 10cpi"/>
          <w:lang w:val="en-CA"/>
        </w:rPr>
      </w:pPr>
      <w:r>
        <w:rPr>
          <w:rFonts w:ascii="Courier 10cpi" w:hAnsi="Courier 10cpi"/>
          <w:lang w:val="en-CA"/>
        </w:rPr>
        <w:tab/>
        <w:t>L'OBJET DE LA MOTION EST LE SUIVANT : une ordonnance autorisant la délivrance d'un bref de mise en possession au demandeur.</w:t>
      </w:r>
    </w:p>
    <w:p w:rsidR="002459E0" w:rsidRDefault="002459E0">
      <w:pPr>
        <w:widowControl w:val="0"/>
        <w:spacing w:line="240" w:lineRule="exact"/>
        <w:rPr>
          <w:rFonts w:ascii="Courier 10cpi" w:hAnsi="Courier 10cpi"/>
          <w:lang w:val="en-CA"/>
        </w:rPr>
      </w:pPr>
    </w:p>
    <w:p w:rsidR="002459E0" w:rsidRDefault="002459E0">
      <w:pPr>
        <w:widowControl w:val="0"/>
        <w:spacing w:line="240" w:lineRule="exact"/>
        <w:rPr>
          <w:rFonts w:ascii="Courier 10cpi" w:hAnsi="Courier 10cpi"/>
          <w:lang w:val="en-CA"/>
        </w:rPr>
      </w:pPr>
      <w:r>
        <w:rPr>
          <w:rFonts w:ascii="Courier 10cpi" w:hAnsi="Courier 10cpi"/>
          <w:lang w:val="en-CA"/>
        </w:rPr>
        <w:tab/>
        <w:t>LES MOYENS À L'APPUI DE LA MOTION SONT LES SUIVANTS :</w:t>
      </w:r>
    </w:p>
    <w:p w:rsidR="002459E0" w:rsidRDefault="002459E0">
      <w:pPr>
        <w:widowControl w:val="0"/>
        <w:spacing w:line="240" w:lineRule="exact"/>
        <w:rPr>
          <w:rFonts w:ascii="Courier 10cpi" w:hAnsi="Courier 10cpi"/>
          <w:lang w:val="en-CA"/>
        </w:rPr>
      </w:pPr>
    </w:p>
    <w:p w:rsidR="002459E0" w:rsidRDefault="002459E0">
      <w:pPr>
        <w:widowControl w:val="0"/>
        <w:spacing w:line="240" w:lineRule="exact"/>
        <w:rPr>
          <w:rFonts w:ascii="Courier 10cpi" w:hAnsi="Courier 10cpi"/>
          <w:lang w:val="en-CA"/>
        </w:rPr>
      </w:pPr>
      <w:r>
        <w:rPr>
          <w:rFonts w:ascii="Courier 10cpi" w:hAnsi="Courier 10cpi"/>
          <w:lang w:val="en-CA"/>
        </w:rPr>
        <w:t>1.</w:t>
      </w:r>
      <w:r>
        <w:rPr>
          <w:rFonts w:ascii="Courier 10cpi" w:hAnsi="Courier 10cpi"/>
          <w:lang w:val="en-CA"/>
        </w:rPr>
        <w:tab/>
        <w:t>dans son jugement en date du [</w:t>
      </w:r>
      <w:r>
        <w:rPr>
          <w:rFonts w:ascii="Courier 10cpi" w:hAnsi="Courier 10cpi"/>
          <w:i/>
          <w:lang w:val="en-CA"/>
        </w:rPr>
        <w:t>date</w:t>
      </w:r>
      <w:r>
        <w:rPr>
          <w:rFonts w:ascii="Courier 10cpi" w:hAnsi="Courier 10cpi"/>
          <w:lang w:val="en-CA"/>
        </w:rPr>
        <w:t>], M. le juge [</w:t>
      </w:r>
      <w:r>
        <w:rPr>
          <w:rFonts w:ascii="Courier 10cpi" w:hAnsi="Courier 10cpi"/>
          <w:i/>
          <w:lang w:val="en-CA"/>
        </w:rPr>
        <w:t xml:space="preserve">ou </w:t>
      </w:r>
      <w:r>
        <w:rPr>
          <w:rFonts w:ascii="Courier 10cpi" w:hAnsi="Courier 10cpi"/>
          <w:lang w:val="en-CA"/>
        </w:rPr>
        <w:t xml:space="preserve"> Mme la juge] [</w:t>
      </w:r>
      <w:r>
        <w:rPr>
          <w:rFonts w:ascii="Courier 10cpi" w:hAnsi="Courier 10cpi"/>
          <w:i/>
          <w:lang w:val="en-CA"/>
        </w:rPr>
        <w:t>nom</w:t>
      </w:r>
      <w:r>
        <w:rPr>
          <w:rFonts w:ascii="Courier 10cpi" w:hAnsi="Courier 10cpi"/>
          <w:lang w:val="en-CA"/>
        </w:rPr>
        <w:t>] a statué que le demandeur avait droit à la possession de certains biens-fonds et locaux dont il a présenté la description;</w:t>
      </w:r>
    </w:p>
    <w:p w:rsidR="002459E0" w:rsidRDefault="002459E0">
      <w:pPr>
        <w:widowControl w:val="0"/>
        <w:spacing w:line="240" w:lineRule="exact"/>
        <w:rPr>
          <w:rFonts w:ascii="Courier 10cpi" w:hAnsi="Courier 10cpi"/>
          <w:lang w:val="en-CA"/>
        </w:rPr>
      </w:pPr>
    </w:p>
    <w:p w:rsidR="002459E0" w:rsidRDefault="002459E0">
      <w:pPr>
        <w:widowControl w:val="0"/>
        <w:spacing w:line="240" w:lineRule="exact"/>
        <w:rPr>
          <w:rFonts w:ascii="Courier 10cpi" w:hAnsi="Courier 10cpi"/>
          <w:lang w:val="en-CA"/>
        </w:rPr>
      </w:pPr>
      <w:r>
        <w:rPr>
          <w:rFonts w:ascii="Courier 10cpi" w:hAnsi="Courier 10cpi"/>
          <w:lang w:val="en-CA"/>
        </w:rPr>
        <w:t>2.</w:t>
      </w:r>
      <w:r>
        <w:rPr>
          <w:rFonts w:ascii="Courier 10cpi" w:hAnsi="Courier 10cpi"/>
          <w:lang w:val="en-CA"/>
        </w:rPr>
        <w:tab/>
        <w:t>le défendeur [</w:t>
      </w:r>
      <w:r>
        <w:rPr>
          <w:rFonts w:ascii="Courier 10cpi" w:hAnsi="Courier 10cpi"/>
          <w:i/>
          <w:lang w:val="en-CA"/>
        </w:rPr>
        <w:t>nom</w:t>
      </w:r>
      <w:r>
        <w:rPr>
          <w:rFonts w:ascii="Courier 10cpi" w:hAnsi="Courier 10cpi"/>
          <w:lang w:val="en-CA"/>
        </w:rPr>
        <w:t>] a omis de remettre la possession des biens-fonds et des locaux susmentionnés au demandeur et il refuse de le faire;</w:t>
      </w:r>
    </w:p>
    <w:p w:rsidR="002459E0" w:rsidRDefault="002459E0">
      <w:pPr>
        <w:widowControl w:val="0"/>
        <w:spacing w:line="240" w:lineRule="exact"/>
        <w:rPr>
          <w:rFonts w:ascii="Courier 10cpi" w:hAnsi="Courier 10cpi"/>
          <w:lang w:val="en-CA"/>
        </w:rPr>
      </w:pPr>
    </w:p>
    <w:p w:rsidR="002459E0" w:rsidRDefault="002459E0">
      <w:pPr>
        <w:widowControl w:val="0"/>
        <w:spacing w:line="240" w:lineRule="exact"/>
        <w:rPr>
          <w:rFonts w:ascii="Courier 10cpi" w:hAnsi="Courier 10cpi"/>
          <w:lang w:val="en-CA"/>
        </w:rPr>
      </w:pPr>
      <w:r>
        <w:rPr>
          <w:rFonts w:ascii="Courier 10cpi" w:hAnsi="Courier 10cpi"/>
          <w:lang w:val="en-CA"/>
        </w:rPr>
        <w:t>3.</w:t>
      </w:r>
      <w:r>
        <w:rPr>
          <w:rFonts w:ascii="Courier 10cpi" w:hAnsi="Courier 10cpi"/>
          <w:lang w:val="en-CA"/>
        </w:rPr>
        <w:tab/>
        <w:t>toutes les personnes ayant la possession de fait des biens-fonds et des locaux ou d'une partie de ceux-ci ont reçu un avis suffisant de la présente instance;</w:t>
      </w:r>
    </w:p>
    <w:p w:rsidR="002459E0" w:rsidRDefault="002459E0">
      <w:pPr>
        <w:widowControl w:val="0"/>
        <w:spacing w:line="240" w:lineRule="exact"/>
        <w:rPr>
          <w:rFonts w:ascii="Courier 10cpi" w:hAnsi="Courier 10cpi"/>
          <w:lang w:val="en-CA"/>
        </w:rPr>
      </w:pPr>
    </w:p>
    <w:p w:rsidR="002459E0" w:rsidRDefault="002459E0">
      <w:pPr>
        <w:widowControl w:val="0"/>
        <w:spacing w:line="240" w:lineRule="exact"/>
        <w:rPr>
          <w:rFonts w:ascii="Courier 10cpi" w:hAnsi="Courier 10cpi"/>
          <w:lang w:val="en-CA"/>
        </w:rPr>
      </w:pPr>
      <w:r>
        <w:rPr>
          <w:rFonts w:ascii="Courier 10cpi" w:hAnsi="Courier 10cpi"/>
          <w:lang w:val="en-CA"/>
        </w:rPr>
        <w:t>4.</w:t>
      </w:r>
      <w:r>
        <w:rPr>
          <w:rFonts w:ascii="Courier 10cpi" w:hAnsi="Courier 10cpi"/>
          <w:lang w:val="en-CA"/>
        </w:rPr>
        <w:tab/>
        <w:t>le demandeur invoque le paragraphe 60.10(1) des Règles de procédure civile.</w:t>
      </w:r>
    </w:p>
    <w:p w:rsidR="002459E0" w:rsidRDefault="002459E0">
      <w:pPr>
        <w:widowControl w:val="0"/>
        <w:spacing w:line="240" w:lineRule="exact"/>
        <w:rPr>
          <w:rFonts w:ascii="Courier 10cpi" w:hAnsi="Courier 10cpi"/>
          <w:lang w:val="en-CA"/>
        </w:rPr>
      </w:pPr>
    </w:p>
    <w:p w:rsidR="002459E0" w:rsidRDefault="002459E0">
      <w:pPr>
        <w:widowControl w:val="0"/>
        <w:spacing w:line="240" w:lineRule="exact"/>
        <w:rPr>
          <w:rFonts w:ascii="Courier 10cpi" w:hAnsi="Courier 10cpi"/>
          <w:lang w:val="en-CA"/>
        </w:rPr>
      </w:pPr>
      <w:r>
        <w:rPr>
          <w:rFonts w:ascii="Courier 10cpi" w:hAnsi="Courier 10cpi"/>
          <w:lang w:val="en-CA"/>
        </w:rPr>
        <w:tab/>
        <w:t>LA PREUVE DOCUMENTAIRE SUIVANTE sera utilisée à l'audition de la motion :</w:t>
      </w:r>
    </w:p>
    <w:p w:rsidR="002459E0" w:rsidRDefault="002459E0">
      <w:pPr>
        <w:widowControl w:val="0"/>
        <w:spacing w:line="240" w:lineRule="exact"/>
        <w:ind w:left="1440" w:hanging="1440"/>
        <w:rPr>
          <w:rFonts w:ascii="Courier 10cpi" w:hAnsi="Courier 10cpi"/>
          <w:lang w:val="en-CA"/>
        </w:rPr>
      </w:pPr>
      <w:r>
        <w:rPr>
          <w:rFonts w:ascii="Courier 10cpi" w:hAnsi="Courier 10cpi"/>
          <w:lang w:val="en-CA"/>
        </w:rPr>
        <w:tab/>
        <w:t>1.</w:t>
      </w:r>
      <w:r>
        <w:rPr>
          <w:rFonts w:ascii="Courier 10cpi" w:hAnsi="Courier 10cpi"/>
          <w:lang w:val="en-CA"/>
        </w:rPr>
        <w:tab/>
        <w:t>l'affidavit de [</w:t>
      </w:r>
      <w:r>
        <w:rPr>
          <w:rFonts w:ascii="Courier 10cpi" w:hAnsi="Courier 10cpi"/>
          <w:i/>
          <w:lang w:val="en-CA"/>
        </w:rPr>
        <w:t>nom</w:t>
      </w:r>
      <w:r>
        <w:rPr>
          <w:rFonts w:ascii="Courier 10cpi" w:hAnsi="Courier 10cpi"/>
          <w:lang w:val="en-CA"/>
        </w:rPr>
        <w:t>] fait le [</w:t>
      </w:r>
      <w:r>
        <w:rPr>
          <w:rFonts w:ascii="Courier 10cpi" w:hAnsi="Courier 10cpi"/>
          <w:i/>
          <w:lang w:val="en-CA"/>
        </w:rPr>
        <w:t>date</w:t>
      </w:r>
      <w:r>
        <w:rPr>
          <w:rFonts w:ascii="Courier 10cpi" w:hAnsi="Courier 10cpi"/>
          <w:lang w:val="en-CA"/>
        </w:rPr>
        <w:t>] et les pièces jointes à cet affidavit.</w:t>
      </w:r>
    </w:p>
    <w:p w:rsidR="002459E0" w:rsidRDefault="002459E0">
      <w:pPr>
        <w:widowControl w:val="0"/>
        <w:spacing w:line="240" w:lineRule="exact"/>
        <w:rPr>
          <w:rFonts w:ascii="Courier 10cpi" w:hAnsi="Courier 10cpi"/>
          <w:lang w:val="en-CA"/>
        </w:rPr>
      </w:pPr>
    </w:p>
    <w:p w:rsidR="002459E0" w:rsidRDefault="002459E0">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spacing w:line="240" w:lineRule="exact"/>
        <w:ind w:left="4320" w:hanging="4320"/>
        <w:rPr>
          <w:rFonts w:ascii="Courier 10cpi" w:hAnsi="Courier 10cpi"/>
          <w:lang w:val="en-CA"/>
        </w:rPr>
      </w:pPr>
      <w:r>
        <w:rPr>
          <w:rFonts w:ascii="Courier 10cpi" w:hAnsi="Courier 10cpi"/>
          <w:lang w:val="en-CA"/>
        </w:rPr>
        <w:t>[</w:t>
      </w:r>
      <w:r>
        <w:rPr>
          <w:rFonts w:ascii="Courier 10cpi" w:hAnsi="Courier 10cpi"/>
          <w:i/>
          <w:lang w:val="en-CA"/>
        </w:rPr>
        <w:t>date</w:t>
      </w:r>
      <w:r>
        <w:rPr>
          <w:rFonts w:ascii="Courier 10cpi" w:hAnsi="Courier 10cpi"/>
          <w:lang w:val="en-CA"/>
        </w:rPr>
        <w:t>]</w:t>
      </w:r>
      <w:r>
        <w:rPr>
          <w:rFonts w:ascii="Courier 10cpi" w:hAnsi="Courier 10cpi"/>
          <w:lang w:val="en-CA"/>
        </w:rPr>
        <w:tab/>
        <w:t>[</w:t>
      </w:r>
      <w:r>
        <w:rPr>
          <w:rFonts w:ascii="Courier 10cpi" w:hAnsi="Courier 10cpi"/>
          <w:i/>
          <w:lang w:val="en-CA"/>
        </w:rPr>
        <w:t>nom, adresse et numéro de téléphone des procureurs</w:t>
      </w:r>
      <w:r>
        <w:rPr>
          <w:rFonts w:ascii="Courier 10cpi" w:hAnsi="Courier 10cpi"/>
          <w:lang w:val="en-CA"/>
        </w:rPr>
        <w:t>]</w:t>
      </w:r>
    </w:p>
    <w:p w:rsidR="002459E0" w:rsidRDefault="002459E0">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2459E0" w:rsidRDefault="002459E0">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ab/>
        <w:t>procureurs du demandeur</w:t>
      </w:r>
    </w:p>
    <w:sectPr w:rsidR="002459E0" w:rsidSect="002459E0">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59E0"/>
    <w:rsid w:val="002459E0"/>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basedOn w:val="DefaultParagraphFont"/>
    <w:rPr>
      <w:rFonts w:cs="Times New Roman"/>
      <w:b/>
      <w:sz w:val="36"/>
    </w:rPr>
  </w:style>
  <w:style w:type="character" w:customStyle="1" w:styleId="Document2">
    <w:name w:val="Document[2]"/>
    <w:basedOn w:val="DefaultParagraphFont"/>
    <w:rPr>
      <w:rFonts w:cs="Times New Roman"/>
      <w:b/>
      <w:u w:val="single"/>
    </w:rPr>
  </w:style>
  <w:style w:type="character" w:customStyle="1" w:styleId="Document3">
    <w:name w:val="Document[3]"/>
    <w:basedOn w:val="DefaultParagraphFont"/>
    <w:rPr>
      <w:rFonts w:cs="Times New Roman"/>
      <w:b/>
    </w:rPr>
  </w:style>
  <w:style w:type="character" w:customStyle="1" w:styleId="Document4">
    <w:name w:val="Document[4]"/>
    <w:basedOn w:val="DefaultParagraphFont"/>
    <w:rPr>
      <w:rFonts w:cs="Times New Roman"/>
      <w:b/>
      <w:i/>
    </w:rPr>
  </w:style>
  <w:style w:type="character" w:customStyle="1" w:styleId="Document5">
    <w:name w:val="Document[5]"/>
    <w:basedOn w:val="DefaultParagraphFont"/>
    <w:rPr>
      <w:rFonts w:cs="Times New Roman"/>
    </w:rPr>
  </w:style>
  <w:style w:type="character" w:customStyle="1" w:styleId="Document6">
    <w:name w:val="Document[6]"/>
    <w:basedOn w:val="DefaultParagraphFont"/>
    <w:rPr>
      <w:rFonts w:cs="Times New Roman"/>
    </w:rPr>
  </w:style>
  <w:style w:type="character" w:customStyle="1" w:styleId="Document7">
    <w:name w:val="Document[7]"/>
    <w:basedOn w:val="DefaultParagraphFont"/>
    <w:rPr>
      <w:rFonts w:cs="Times New Roman"/>
    </w:rPr>
  </w:style>
  <w:style w:type="character" w:customStyle="1" w:styleId="Document8">
    <w:name w:val="Document[8]"/>
    <w:basedOn w:val="DefaultParagraphFont"/>
    <w:rPr>
      <w:rFonts w:cs="Times New Roman"/>
    </w:rPr>
  </w:style>
  <w:style w:type="character" w:customStyle="1" w:styleId="Technical1">
    <w:name w:val="Technical[1]"/>
    <w:basedOn w:val="DefaultParagraphFont"/>
    <w:rPr>
      <w:rFonts w:cs="Times New Roman"/>
      <w:b/>
      <w:sz w:val="36"/>
    </w:rPr>
  </w:style>
  <w:style w:type="character" w:customStyle="1" w:styleId="Technical2">
    <w:name w:val="Technical[2]"/>
    <w:basedOn w:val="DefaultParagraphFont"/>
    <w:rPr>
      <w:rFonts w:cs="Times New Roman"/>
      <w:b/>
      <w:u w:val="single"/>
    </w:rPr>
  </w:style>
  <w:style w:type="character" w:customStyle="1" w:styleId="Technical3">
    <w:name w:val="Technical[3]"/>
    <w:basedOn w:val="DefaultParagraphFont"/>
    <w:rPr>
      <w:rFonts w:cs="Times New Roman"/>
      <w:b/>
    </w:rPr>
  </w:style>
  <w:style w:type="character" w:customStyle="1" w:styleId="Technical4">
    <w:name w:val="Technical[4]"/>
    <w:basedOn w:val="DefaultParagraphFont"/>
    <w:rPr>
      <w:rFonts w:cs="Times New Roman"/>
      <w:b/>
    </w:rPr>
  </w:style>
  <w:style w:type="character" w:customStyle="1" w:styleId="Technical5">
    <w:name w:val="Technical[5]"/>
    <w:basedOn w:val="DefaultParagraphFont"/>
    <w:rPr>
      <w:rFonts w:cs="Times New Roman"/>
      <w:b/>
    </w:rPr>
  </w:style>
  <w:style w:type="character" w:customStyle="1" w:styleId="Technical6">
    <w:name w:val="Technical[6]"/>
    <w:basedOn w:val="DefaultParagraphFont"/>
    <w:rPr>
      <w:rFonts w:cs="Times New Roman"/>
      <w:b/>
    </w:rPr>
  </w:style>
  <w:style w:type="character" w:customStyle="1" w:styleId="Technical7">
    <w:name w:val="Technical[7]"/>
    <w:basedOn w:val="DefaultParagraphFont"/>
    <w:rPr>
      <w:rFonts w:cs="Times New Roman"/>
      <w:b/>
    </w:rPr>
  </w:style>
  <w:style w:type="character" w:customStyle="1" w:styleId="Technical8">
    <w:name w:val="Technical[8]"/>
    <w:basedOn w:val="DefaultParagraphFont"/>
    <w:rPr>
      <w:rFonts w:cs="Times New Roman"/>
      <w:b/>
    </w:rPr>
  </w:style>
  <w:style w:type="character" w:customStyle="1" w:styleId="RightPar1">
    <w:name w:val="Right Par[1]"/>
    <w:basedOn w:val="DefaultParagraphFont"/>
    <w:rPr>
      <w:rFonts w:cs="Times New Roman"/>
    </w:rPr>
  </w:style>
  <w:style w:type="character" w:customStyle="1" w:styleId="RightPar2">
    <w:name w:val="Right Par[2]"/>
    <w:basedOn w:val="DefaultParagraphFont"/>
    <w:rPr>
      <w:rFonts w:cs="Times New Roman"/>
    </w:rPr>
  </w:style>
  <w:style w:type="character" w:customStyle="1" w:styleId="RightPar3">
    <w:name w:val="Right Par[3]"/>
    <w:basedOn w:val="DefaultParagraphFont"/>
    <w:rPr>
      <w:rFonts w:cs="Times New Roman"/>
    </w:rPr>
  </w:style>
  <w:style w:type="character" w:customStyle="1" w:styleId="RightPar4">
    <w:name w:val="Right Par[4]"/>
    <w:basedOn w:val="DefaultParagraphFont"/>
    <w:rPr>
      <w:rFonts w:cs="Times New Roman"/>
    </w:rPr>
  </w:style>
  <w:style w:type="character" w:customStyle="1" w:styleId="RightPar5">
    <w:name w:val="Right Par[5]"/>
    <w:basedOn w:val="DefaultParagraphFont"/>
    <w:rPr>
      <w:rFonts w:cs="Times New Roman"/>
    </w:rPr>
  </w:style>
  <w:style w:type="character" w:customStyle="1" w:styleId="RightPar6">
    <w:name w:val="Right Par[6]"/>
    <w:basedOn w:val="DefaultParagraphFont"/>
    <w:rPr>
      <w:rFonts w:cs="Times New Roman"/>
    </w:rPr>
  </w:style>
  <w:style w:type="character" w:customStyle="1" w:styleId="RightPar7">
    <w:name w:val="Right Par[7]"/>
    <w:basedOn w:val="DefaultParagraphFont"/>
    <w:rPr>
      <w:rFonts w:cs="Times New Roman"/>
    </w:rPr>
  </w:style>
  <w:style w:type="character" w:customStyle="1" w:styleId="RightPar8">
    <w:name w:val="Right Par[8]"/>
    <w:basedOn w:val="DefaultParagraphFont"/>
    <w:rPr>
      <w:rFonts w:cs="Times New Roman"/>
    </w:rPr>
  </w:style>
  <w:style w:type="character" w:customStyle="1" w:styleId="1">
    <w:name w:val="1"/>
    <w:basedOn w:val="DefaultParagraphFont"/>
    <w:rPr>
      <w:rFonts w:cs="Times New Roman"/>
    </w:rPr>
  </w:style>
  <w:style w:type="character" w:customStyle="1" w:styleId="DocInit">
    <w:name w:val="Doc Init"/>
    <w:basedOn w:val="DefaultParagraphFont"/>
    <w:rPr>
      <w:rFonts w:cs="Times New Roman"/>
    </w:rPr>
  </w:style>
  <w:style w:type="character" w:customStyle="1" w:styleId="Pleading">
    <w:name w:val="Pleading"/>
    <w:basedOn w:val="DefaultParagraphFont"/>
    <w:rPr>
      <w:rFonts w:cs="Times New Roman"/>
    </w:rPr>
  </w:style>
  <w:style w:type="character" w:customStyle="1" w:styleId="TechInit">
    <w:name w:val="Tech Init"/>
    <w:basedOn w:val="DefaultParagraphFont"/>
    <w:rPr>
      <w:rFonts w:cs="Times New Roman"/>
    </w:rPr>
  </w:style>
  <w:style w:type="character" w:customStyle="1" w:styleId="Bibliogrphy">
    <w:name w:val="Bibliogrphy"/>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