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6C" w:rsidRDefault="0054156C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[87:G:9]</w:t>
      </w: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156C" w:rsidRDefault="0054156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Motion sollicitant le rejet, pour cause de retard, de</w:t>
      </w:r>
    </w:p>
    <w:p w:rsidR="0054156C" w:rsidRDefault="0054156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la motion en autorisation d'interjeter appel</w:t>
      </w: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156C" w:rsidRDefault="0054156C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156C" w:rsidRDefault="0054156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COUR DIVISIONNAIRE]</w:t>
      </w: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156C" w:rsidRDefault="0054156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color w:val="FF0000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</w:t>
      </w:r>
      <w:r>
        <w:rPr>
          <w:rFonts w:ascii="Courier 10cpi" w:hAnsi="Courier 10cpi"/>
          <w:i/>
          <w:color w:val="FF0000"/>
          <w:lang w:val="en-CA"/>
        </w:rPr>
        <w:t>intitulé de l'instance rédigé conformément à la formule 61B;</w:t>
      </w:r>
    </w:p>
    <w:p w:rsidR="0054156C" w:rsidRDefault="0054156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color w:val="FF0000"/>
          <w:lang w:val="en-CA"/>
        </w:rPr>
        <w:tab/>
        <w:t>voir les modèles fournis à la section 87:A</w:t>
      </w:r>
      <w:r>
        <w:rPr>
          <w:rFonts w:ascii="Courier 10cpi" w:hAnsi="Courier 10cpi"/>
          <w:color w:val="FF0000"/>
          <w:lang w:val="en-CA"/>
        </w:rPr>
        <w:t>]</w:t>
      </w: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156C" w:rsidRDefault="0054156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DE MOTION</w:t>
      </w: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nom de la partie</w:t>
      </w:r>
      <w:r>
        <w:rPr>
          <w:rFonts w:ascii="Courier 10cpi" w:hAnsi="Courier 10cpi"/>
          <w:lang w:val="en-CA"/>
        </w:rPr>
        <w:t>] présentera une motion au greffier de la Cour d'appel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de la Cour divisionnaire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]] siégeant en son cabinet 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], ou dès que possible par la suite,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156C" w:rsidRDefault="0054156C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TYPE D'AUDIENCE PROPOSÉ : Je propose que la motion soit entendue [</w:t>
      </w:r>
      <w:r>
        <w:rPr>
          <w:rFonts w:ascii="Courier 10cpi" w:hAnsi="Courier 10cpi"/>
          <w:i/>
          <w:color w:val="FF0000"/>
          <w:lang w:val="en-CA"/>
        </w:rPr>
        <w:t>cocher la case appropriée</w:t>
      </w:r>
      <w:r>
        <w:rPr>
          <w:rFonts w:ascii="Courier 10cpi" w:hAnsi="Courier 10cpi"/>
          <w:color w:val="FF0000"/>
          <w:lang w:val="en-CA"/>
        </w:rPr>
        <w:t>]</w:t>
      </w:r>
    </w:p>
    <w:p w:rsidR="0054156C" w:rsidRDefault="0054156C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54156C" w:rsidRDefault="0054156C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en vertu du paragraphe 37.12.1(1), parce qu'elle (</w:t>
      </w:r>
      <w:r>
        <w:rPr>
          <w:rFonts w:ascii="Courier 10cpi" w:hAnsi="Courier 10cpi"/>
          <w:i/>
          <w:color w:val="FF0000"/>
          <w:lang w:val="en-CA"/>
        </w:rPr>
        <w:t>rayer la mention inutile</w:t>
      </w:r>
      <w:r>
        <w:rPr>
          <w:rFonts w:ascii="Courier 10cpi" w:hAnsi="Courier 10cpi"/>
          <w:color w:val="FF0000"/>
          <w:lang w:val="en-CA"/>
        </w:rPr>
        <w:t xml:space="preserve"> est présentée sur consentement, n'est pas contestée, présentée sans préavis);</w:t>
      </w:r>
    </w:p>
    <w:p w:rsidR="0054156C" w:rsidRDefault="0054156C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54156C" w:rsidRDefault="0054156C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sous forme d'une motion contestée en vertu du paragraphe 37.12.1(4);</w:t>
      </w:r>
    </w:p>
    <w:p w:rsidR="0054156C" w:rsidRDefault="0054156C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54156C" w:rsidRDefault="0054156C">
      <w:pPr>
        <w:widowControl w:val="0"/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oralement.</w:t>
      </w: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L'OBJET DE LA MOTION est le suivant : une ordonnance rejetant, pour cause de retard, la motion en autorisation d'interjeter appel de [</w:t>
      </w:r>
      <w:r>
        <w:rPr>
          <w:rFonts w:ascii="Courier 10cpi" w:hAnsi="Courier 10cpi"/>
          <w:i/>
          <w:lang w:val="en-CA"/>
        </w:rPr>
        <w:t>nom de la partie</w:t>
      </w:r>
      <w:r>
        <w:rPr>
          <w:rFonts w:ascii="Courier 10cpi" w:hAnsi="Courier 10cpi"/>
          <w:lang w:val="en-CA"/>
        </w:rPr>
        <w:t>].</w:t>
      </w: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D'APPEL sont les suivants :</w:t>
      </w: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nom de la partie</w:t>
      </w:r>
      <w:r>
        <w:rPr>
          <w:rFonts w:ascii="Courier 10cpi" w:hAnsi="Courier 10cpi"/>
          <w:lang w:val="en-CA"/>
        </w:rPr>
        <w:t>] n'a pas signifié et déposé le dossier de motion et le mémoire conformément aux dispositions du paragraphe  61.03(2) des Règles de procédure civile.</w:t>
      </w: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nom de la partie</w:t>
      </w:r>
      <w:r>
        <w:rPr>
          <w:rFonts w:ascii="Courier 10cpi" w:hAnsi="Courier 10cpi"/>
          <w:lang w:val="en-CA"/>
        </w:rPr>
        <w:t>] invoque le paragraphe 61.13(6) des Règles de procédure civile.</w:t>
      </w: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PREUVE DOCUMENTAIRE suivante sera utilisée à l'audition de la motion :</w:t>
      </w: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1. 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156C" w:rsidRDefault="0054156C">
      <w:pPr>
        <w:widowControl w:val="0"/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156C" w:rsidRDefault="0054156C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[</w:t>
      </w:r>
      <w:r>
        <w:rPr>
          <w:rFonts w:ascii="Courier 10cpi" w:hAnsi="Courier 10cpi"/>
          <w:i/>
          <w:lang w:val="en-CA"/>
        </w:rPr>
        <w:t>nom de la partie</w:t>
      </w:r>
      <w:r>
        <w:rPr>
          <w:rFonts w:ascii="Courier 10cpi" w:hAnsi="Courier 10cpi"/>
          <w:lang w:val="en-CA"/>
        </w:rPr>
        <w:t>]</w:t>
      </w: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54156C" w:rsidRDefault="0054156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156C" w:rsidRDefault="0054156C">
      <w:pPr>
        <w:widowControl w:val="0"/>
        <w:spacing w:line="240" w:lineRule="exact"/>
        <w:ind w:left="216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[</w:t>
      </w:r>
      <w:r>
        <w:rPr>
          <w:rFonts w:ascii="Courier 10cpi" w:hAnsi="Courier 10cpi"/>
          <w:i/>
          <w:lang w:val="en-CA"/>
        </w:rPr>
        <w:t>nom de la partie</w:t>
      </w:r>
      <w:r>
        <w:rPr>
          <w:rFonts w:ascii="Courier 10cpi" w:hAnsi="Courier 10cpi"/>
          <w:lang w:val="en-CA"/>
        </w:rPr>
        <w:t>]</w:t>
      </w:r>
    </w:p>
    <w:sectPr w:rsidR="0054156C" w:rsidSect="005415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56C"/>
    <w:rsid w:val="0054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