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2A" w:rsidRDefault="000B1C2A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[87:L:4]</w:t>
      </w:r>
    </w:p>
    <w:p w:rsidR="000B1C2A" w:rsidRDefault="000B1C2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0B1C2A" w:rsidRDefault="000B1C2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0B1C2A" w:rsidRDefault="000B1C2A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b/>
          <w:u w:val="single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Motion en annulation de l'appel interjeté</w:t>
      </w:r>
    </w:p>
    <w:p w:rsidR="000B1C2A" w:rsidRDefault="000B1C2A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à la Cour d'appel</w:t>
      </w:r>
    </w:p>
    <w:p w:rsidR="000B1C2A" w:rsidRDefault="000B1C2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0B1C2A" w:rsidRDefault="000B1C2A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0B1C2A" w:rsidRDefault="000B1C2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0B1C2A" w:rsidRDefault="000B1C2A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 xml:space="preserve">COUR D'APPEL </w:t>
      </w:r>
    </w:p>
    <w:p w:rsidR="000B1C2A" w:rsidRDefault="000B1C2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0B1C2A" w:rsidRDefault="000B1C2A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i/>
          <w:color w:val="FF0000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color w:val="FF0000"/>
          <w:lang w:val="en-CA"/>
        </w:rPr>
        <w:t>[</w:t>
      </w:r>
      <w:r>
        <w:rPr>
          <w:rFonts w:ascii="Courier 10cpi" w:hAnsi="Courier 10cpi"/>
          <w:i/>
          <w:color w:val="FF0000"/>
          <w:lang w:val="en-CA"/>
        </w:rPr>
        <w:t>intitulé de l'instance rédigé selon la formule 61B;</w:t>
      </w:r>
    </w:p>
    <w:p w:rsidR="000B1C2A" w:rsidRDefault="000B1C2A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color w:val="FF0000"/>
          <w:lang w:val="en-CA"/>
        </w:rPr>
        <w:tab/>
        <w:t>voir les modèles fournis à la section 87:A</w:t>
      </w:r>
      <w:r>
        <w:rPr>
          <w:rFonts w:ascii="Courier 10cpi" w:hAnsi="Courier 10cpi"/>
          <w:color w:val="FF0000"/>
          <w:lang w:val="en-CA"/>
        </w:rPr>
        <w:t>]</w:t>
      </w:r>
    </w:p>
    <w:p w:rsidR="000B1C2A" w:rsidRDefault="000B1C2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0B1C2A" w:rsidRDefault="000B1C2A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AVIS DE MOTION</w:t>
      </w:r>
    </w:p>
    <w:p w:rsidR="000B1C2A" w:rsidRDefault="000B1C2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0B1C2A" w:rsidRDefault="000B1C2A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demandeur (intimé) présentera une motion à la Cour d'appel, à la date fixée par le greffier, à/au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>].</w:t>
      </w:r>
    </w:p>
    <w:p w:rsidR="000B1C2A" w:rsidRDefault="000B1C2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0B1C2A" w:rsidRDefault="000B1C2A">
      <w:pPr>
        <w:widowControl w:val="0"/>
        <w:spacing w:line="240" w:lineRule="exact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ab/>
        <w:t>TYPE D'AUDIENCE PROPOSÉ : Je propose que la motion soit entendue [</w:t>
      </w:r>
      <w:r>
        <w:rPr>
          <w:rFonts w:ascii="Courier 10cpi" w:hAnsi="Courier 10cpi"/>
          <w:i/>
          <w:color w:val="FF0000"/>
          <w:lang w:val="en-CA"/>
        </w:rPr>
        <w:t>cocher la case appropriée</w:t>
      </w:r>
      <w:r>
        <w:rPr>
          <w:rFonts w:ascii="Courier 10cpi" w:hAnsi="Courier 10cpi"/>
          <w:color w:val="FF0000"/>
          <w:lang w:val="en-CA"/>
        </w:rPr>
        <w:t>]</w:t>
      </w:r>
    </w:p>
    <w:p w:rsidR="000B1C2A" w:rsidRDefault="000B1C2A">
      <w:pPr>
        <w:widowControl w:val="0"/>
        <w:spacing w:line="240" w:lineRule="exact"/>
        <w:rPr>
          <w:rFonts w:ascii="Courier 10cpi" w:hAnsi="Courier 10cpi"/>
          <w:color w:val="FF0000"/>
          <w:lang w:val="en-CA"/>
        </w:rPr>
      </w:pPr>
    </w:p>
    <w:p w:rsidR="000B1C2A" w:rsidRDefault="000B1C2A">
      <w:pPr>
        <w:widowControl w:val="0"/>
        <w:spacing w:line="240" w:lineRule="exact"/>
        <w:ind w:left="1440" w:hanging="72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•</w:t>
      </w:r>
      <w:r>
        <w:rPr>
          <w:rFonts w:ascii="Courier 10cpi" w:hAnsi="Courier 10cpi"/>
          <w:color w:val="FF0000"/>
          <w:lang w:val="en-CA"/>
        </w:rPr>
        <w:tab/>
        <w:t>sur pièces en vertu du paragraphe 37.12.1(1), parce qu'elle (</w:t>
      </w:r>
      <w:r>
        <w:rPr>
          <w:rFonts w:ascii="Courier 10cpi" w:hAnsi="Courier 10cpi"/>
          <w:i/>
          <w:color w:val="FF0000"/>
          <w:lang w:val="en-CA"/>
        </w:rPr>
        <w:t>rayer la mention inutile</w:t>
      </w:r>
      <w:r>
        <w:rPr>
          <w:rFonts w:ascii="Courier 10cpi" w:hAnsi="Courier 10cpi"/>
          <w:color w:val="FF0000"/>
          <w:lang w:val="en-CA"/>
        </w:rPr>
        <w:t xml:space="preserve"> est présentée sur consentement, n'est pas contestée, présentée sans préavis);</w:t>
      </w:r>
    </w:p>
    <w:p w:rsidR="000B1C2A" w:rsidRDefault="000B1C2A">
      <w:pPr>
        <w:widowControl w:val="0"/>
        <w:spacing w:line="240" w:lineRule="exact"/>
        <w:rPr>
          <w:rFonts w:ascii="Courier 10cpi" w:hAnsi="Courier 10cpi"/>
          <w:color w:val="FF0000"/>
          <w:lang w:val="en-CA"/>
        </w:rPr>
      </w:pPr>
    </w:p>
    <w:p w:rsidR="000B1C2A" w:rsidRDefault="000B1C2A">
      <w:pPr>
        <w:widowControl w:val="0"/>
        <w:spacing w:line="240" w:lineRule="exact"/>
        <w:ind w:left="1440" w:hanging="72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•</w:t>
      </w:r>
      <w:r>
        <w:rPr>
          <w:rFonts w:ascii="Courier 10cpi" w:hAnsi="Courier 10cpi"/>
          <w:color w:val="FF0000"/>
          <w:lang w:val="en-CA"/>
        </w:rPr>
        <w:tab/>
        <w:t>sur pièces sous forme d'une motion contestée en vertu du paragraphe 37.12.1(4);</w:t>
      </w:r>
    </w:p>
    <w:p w:rsidR="000B1C2A" w:rsidRDefault="000B1C2A">
      <w:pPr>
        <w:widowControl w:val="0"/>
        <w:spacing w:line="240" w:lineRule="exact"/>
        <w:rPr>
          <w:rFonts w:ascii="Courier 10cpi" w:hAnsi="Courier 10cpi"/>
          <w:color w:val="FF0000"/>
          <w:lang w:val="en-CA"/>
        </w:rPr>
      </w:pPr>
    </w:p>
    <w:p w:rsidR="000B1C2A" w:rsidRDefault="000B1C2A">
      <w:pPr>
        <w:widowControl w:val="0"/>
        <w:spacing w:line="240" w:lineRule="exact"/>
        <w:ind w:left="1440" w:hanging="72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•</w:t>
      </w:r>
      <w:r>
        <w:rPr>
          <w:rFonts w:ascii="Courier 10cpi" w:hAnsi="Courier 10cpi"/>
          <w:color w:val="FF0000"/>
          <w:lang w:val="en-CA"/>
        </w:rPr>
        <w:tab/>
        <w:t>oralement.</w:t>
      </w:r>
    </w:p>
    <w:p w:rsidR="000B1C2A" w:rsidRDefault="000B1C2A">
      <w:pPr>
        <w:widowControl w:val="0"/>
        <w:spacing w:line="240" w:lineRule="exact"/>
        <w:rPr>
          <w:rFonts w:ascii="Courier 10cpi" w:hAnsi="Courier 10cpi"/>
          <w:color w:val="FF0000"/>
          <w:lang w:val="en-CA"/>
        </w:rPr>
      </w:pPr>
    </w:p>
    <w:p w:rsidR="000B1C2A" w:rsidRDefault="000B1C2A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L'OBJET DE LA MOTION EST LE SUIVANT : l'annulation de l'appel interjeté par le défendeur (appelant) de l'ordonnance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de 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].</w:t>
      </w:r>
    </w:p>
    <w:p w:rsidR="000B1C2A" w:rsidRDefault="000B1C2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0B1C2A" w:rsidRDefault="000B1C2A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LES MOYENS À L'APPUI DE LA MOTION SONT LES SUIVANTS :</w:t>
      </w:r>
    </w:p>
    <w:p w:rsidR="000B1C2A" w:rsidRDefault="000B1C2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0B1C2A" w:rsidRDefault="000B1C2A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Il n'existe aucun droit d'interjeter appel, à la Cour d'appel ou à un autre tribunal, de l'ordonnance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de 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].</w:t>
      </w:r>
    </w:p>
    <w:p w:rsidR="000B1C2A" w:rsidRDefault="000B1C2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0B1C2A" w:rsidRDefault="000B1C2A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 xml:space="preserve">Le paragraphe 134(3) de la </w:t>
      </w:r>
      <w:r>
        <w:rPr>
          <w:rFonts w:ascii="Courier 10cpi" w:hAnsi="Courier 10cpi"/>
          <w:i/>
          <w:lang w:val="en-CA"/>
        </w:rPr>
        <w:t>Loi sur les tribunaux judiciaires</w:t>
      </w:r>
      <w:r>
        <w:rPr>
          <w:rFonts w:ascii="Courier 10cpi" w:hAnsi="Courier 10cpi"/>
          <w:lang w:val="en-CA"/>
        </w:rPr>
        <w:t>, L.R.O. 1990, chap. C.43.</w:t>
      </w:r>
    </w:p>
    <w:p w:rsidR="000B1C2A" w:rsidRDefault="000B1C2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0B1C2A" w:rsidRDefault="000B1C2A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PREUVE DOCUMENTAIRE suivante sera utilisée à l'audition de la motion :</w:t>
      </w:r>
    </w:p>
    <w:p w:rsidR="000B1C2A" w:rsidRDefault="000B1C2A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1.</w:t>
      </w:r>
      <w:r>
        <w:rPr>
          <w:rFonts w:ascii="Courier 10cpi" w:hAnsi="Courier 10cpi"/>
          <w:lang w:val="en-CA"/>
        </w:rPr>
        <w:tab/>
        <w:t>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déposé et les pièces jointes à cet affidavit.</w:t>
      </w:r>
    </w:p>
    <w:p w:rsidR="000B1C2A" w:rsidRDefault="000B1C2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0B1C2A" w:rsidRDefault="000B1C2A">
      <w:pPr>
        <w:widowControl w:val="0"/>
        <w:spacing w:line="240" w:lineRule="exact"/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des procureurs</w:t>
      </w:r>
      <w:r>
        <w:rPr>
          <w:rFonts w:ascii="Courier 10cpi" w:hAnsi="Courier 10cpi"/>
          <w:lang w:val="en-CA"/>
        </w:rPr>
        <w:t>]</w:t>
      </w:r>
    </w:p>
    <w:p w:rsidR="000B1C2A" w:rsidRDefault="000B1C2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0B1C2A" w:rsidRDefault="000B1C2A">
      <w:pPr>
        <w:widowControl w:val="0"/>
        <w:spacing w:line="240" w:lineRule="exact"/>
        <w:ind w:left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procureurs du demandeur</w:t>
      </w:r>
    </w:p>
    <w:p w:rsidR="000B1C2A" w:rsidRDefault="000B1C2A">
      <w:pPr>
        <w:widowControl w:val="0"/>
        <w:spacing w:line="240" w:lineRule="exact"/>
        <w:ind w:left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(intimé)</w:t>
      </w:r>
    </w:p>
    <w:p w:rsidR="000B1C2A" w:rsidRDefault="000B1C2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0B1C2A" w:rsidRDefault="000B1C2A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DESTINATAIRES :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et adresse des procureurs</w:t>
      </w:r>
      <w:r>
        <w:rPr>
          <w:rFonts w:ascii="Courier 10cpi" w:hAnsi="Courier 10cpi"/>
          <w:lang w:val="en-CA"/>
        </w:rPr>
        <w:t>]</w:t>
      </w:r>
    </w:p>
    <w:p w:rsidR="000B1C2A" w:rsidRDefault="000B1C2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0B1C2A" w:rsidRDefault="000B1C2A">
      <w:pPr>
        <w:widowControl w:val="0"/>
        <w:spacing w:line="240" w:lineRule="exact"/>
        <w:ind w:left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du défendeur (appelant)</w:t>
      </w:r>
    </w:p>
    <w:sectPr w:rsidR="000B1C2A" w:rsidSect="000B1C2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C2A"/>
    <w:rsid w:val="000B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1">
    <w:name w:val="1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