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09" w:rsidRDefault="00A97209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 xml:space="preserve">          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[89:B:29]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Loi sur les actes translatifs de propriété</w:t>
      </w:r>
    </w:p>
    <w:p w:rsidR="00A97209" w:rsidRDefault="00A9720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et le droit des biens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A97209" w:rsidRDefault="00A9720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LES DEMANDEURS INTERJETTENT APPEL à la Cour d'appel du jugement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APPELANTS DEMANDENT que le jugement soit annulé et qu'un jugement soit rendu qui fasse droit aux prétentions des demandeurs ou, subsidiairement, qui ordonne la tenue d'un nouveau procès.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juge du procès a refusé aux demandeurs de consigner en preuve certaines parties du contre-interrogatoire du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qui a eu lieu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Cette décision est erronée.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 xml:space="preserve">Le juge du procès a déclaré que les demandeurs n'avaient droit à aucun privilège puisque, la construction des demandeurs ne se situant que partiellement sur le bien-fonds des défendeurs, elle ne constituait pas une amélioration permanente appportée au bien-fonds aux termes du paragraphe 37(1) de la </w:t>
      </w:r>
      <w:r>
        <w:rPr>
          <w:rFonts w:ascii="Courier 10cpi" w:hAnsi="Courier 10cpi"/>
          <w:i/>
          <w:lang w:val="en-CA"/>
        </w:rPr>
        <w:t>Loi sur les actes translatifs de propriété et le droit des biens</w:t>
      </w:r>
      <w:r>
        <w:rPr>
          <w:rFonts w:ascii="Courier 10cpi" w:hAnsi="Courier 10cpi"/>
          <w:lang w:val="en-CA"/>
        </w:rPr>
        <w:t>, L.R.O. 1990, chap. C.34. Cette conclusion est erronée, de même que celle selon laquelle la grange construite par les demandeurs nuit au bien-fonds des défendeurs.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 xml:space="preserve">Le juge du procès a conclu que les demandeurs n'étaient titulaires d'aucun privilège sur le bien-fonds des défendeurs et que, en conséquence, ils pouvaient retenir le bien-fonds après avoir versé l'indemnité que prévoit le paragraphe 37(1) de la </w:t>
      </w:r>
      <w:r>
        <w:rPr>
          <w:rFonts w:ascii="Courier 10cpi" w:hAnsi="Courier 10cpi"/>
          <w:i/>
          <w:lang w:val="en-CA"/>
        </w:rPr>
        <w:t>Loi sur les actes translatifs de propriété et le droit des biens</w:t>
      </w:r>
      <w:r>
        <w:rPr>
          <w:rFonts w:ascii="Courier 10cpi" w:hAnsi="Courier 10cpi"/>
          <w:lang w:val="en-CA"/>
        </w:rPr>
        <w:t xml:space="preserve">. Cette conclusion est erronée. Le juge du procès aurait dû conclure que la mesure de redressement prévue à la deuxième partie du paragraphe 37(1) ne dépend pas de la création d'un privilège au sens de la première partie du paragraphe 37(1) de la </w:t>
      </w:r>
      <w:r>
        <w:rPr>
          <w:rFonts w:ascii="Courier 10cpi" w:hAnsi="Courier 10cpi"/>
          <w:i/>
          <w:lang w:val="en-CA"/>
        </w:rPr>
        <w:t>Loi sur les actes translatifs de propriété et le droit des biens.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A97209" w:rsidRDefault="00A97209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appelants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A97209" w:rsidRDefault="00A97209">
      <w:pPr>
        <w:widowControl w:val="0"/>
        <w:rPr>
          <w:rFonts w:ascii="Courier 10cpi" w:hAnsi="Courier 10cpi"/>
          <w:lang w:val="en-CA"/>
        </w:rPr>
      </w:pPr>
    </w:p>
    <w:p w:rsidR="00A97209" w:rsidRDefault="00A9720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intimés</w:t>
      </w:r>
    </w:p>
    <w:sectPr w:rsidR="00A97209" w:rsidSect="00A972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209"/>
    <w:rsid w:val="00A9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