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00" w:rsidRDefault="001C6000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[89:C:3]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incident : partage de responsabilité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1C6000" w:rsidRDefault="001C600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 INCIDENT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L'INTIMÉ INTERJETTE UN APPEL INCIDENT au présent appel et demande que les dommages-intérêts accordés au demandeur dans le jugement porté en appel soient majorés à la somme de ... $.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DE L'APPEL INCIDENT sont les suivants :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juge du procès a conclu que le demandeur est responsable de l'incendie en cause dans la présente action, dans une proportion de ... pour cent, et il a réduit ses dommages-intérêts en conséquence. Ce faisant, il a commis une erreur.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juge du procès aurait dû accorder au demandeur le plein montant du coût des réparations effectuées aux locaux endommagés par l'incendie.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 xml:space="preserve">Les moyens additionnels jugés pertinents par les procureurs.  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1C6000" w:rsidRDefault="001C6000">
      <w:pPr>
        <w:widowControl w:val="0"/>
        <w:rPr>
          <w:rFonts w:ascii="Courier 10cpi" w:hAnsi="Courier 10cpi"/>
          <w:lang w:val="en-CA"/>
        </w:rPr>
      </w:pPr>
    </w:p>
    <w:p w:rsidR="001C6000" w:rsidRDefault="001C600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sectPr w:rsidR="001C6000" w:rsidSect="001C6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000"/>
    <w:rsid w:val="001C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