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3" w:rsidRDefault="00792033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[90:C:6]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autorisant l'appel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DU CANADA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SUITE DE LA DEMANDE que lui a présentée le procureur des appelants pour obtenir l'autorisation d'interjeter appel à la Cour suprême du Canada de l'ordonnance de la Cour d'appel de l'Ontario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prononcée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la Cour, après avoir entendu les plaidoiries du procureur des appelants et du procureur des intimés prononce les dispositions suivantes : 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LA COUR AUTORISE les appelants à interjeter appel à la Cour suprême du Canada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la Cour d'appel de l'Ontario dans la présente cause.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COUR ORDONNE que les dépens de la présente demande suivent les dépens de l'appel.</w:t>
      </w:r>
    </w:p>
    <w:p w:rsidR="00792033" w:rsidRDefault="0079203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92033" w:rsidRDefault="00792033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Registraire adjoint, C.S.C.</w:t>
      </w:r>
    </w:p>
    <w:sectPr w:rsidR="00792033" w:rsidSect="007920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33"/>
    <w:rsid w:val="007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