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1" w:rsidRDefault="00AA1B4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[90:G:2]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Accord des parties sur le contenu du dossier : variante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AA1B41" w:rsidRDefault="00AA1B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parties conviennent que le dossier de l'appel qui est interjeté devant la Cour suprême du Canada dans leur cause se compose des documents suivants :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1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ACTES DE PROCÉDURE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Date du document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Nouvelle déclaration modifiée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Nouvelle défense des défendeurs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Nouvelle défense modifiée des défendeurs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Avis d'appel à la Cour d'appel de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l'Ontario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Ordonnance de la Cour suprême du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Ordonnance de la Cour suprême du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Avis d'appel à la Cour suprême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du 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Avis d'appel incident à la Cour suprême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du 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II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PREUVE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Transcription des témoignages recueillis</w:t>
      </w:r>
    </w:p>
    <w:p w:rsidR="00AA1B41" w:rsidRDefault="00AA1B41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l'instruction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III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PIÈCES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Date du document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1- Déclaration de dissolution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2- Formule d'enregistrement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3- Certificat de constitution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 société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4- Bail consenti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par la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Société de portefeuille ... Ltée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14.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5- Cession du bail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à la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Société de produits du cuir ... Ltée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15.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6- Bail consenti par la Société de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portefeuille ... Ltée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16.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7- Relevé de la Banque ...</w:t>
      </w:r>
      <w:r>
        <w:rPr>
          <w:rFonts w:ascii="Courier 10cpi" w:hAnsi="Courier 10cpi"/>
          <w:lang w:val="en-CA"/>
        </w:rPr>
        <w:tab/>
        <w:t>non daté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17.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8- Relevé de la Banque 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18.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9- Permis de vendeur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19.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10- Permis d'exemption de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taxe de vente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20.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11- Formule de codage des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Douanes : déclarations d'importations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12- Facture de Toronto Hydro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22.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13- Facture de la taxe d'affaires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la ville de Toronto pour l'année 19...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14- Facture de Bell 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24.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15- Police d'assurance commerciale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>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25.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16- Police d'assurance commerciale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>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26.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17- Preuve du sinistre causé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 le feu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27.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18- Preuve du sinistre causé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 le feu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28.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41- Police d'assurance commerciale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multirisque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29.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Pièce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51- Lettre de la Société ... Ltée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aux Assurances 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IV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JUGEMENTS ET MOTIFS DES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Date du document</w:t>
      </w:r>
    </w:p>
    <w:p w:rsidR="00AA1B41" w:rsidRDefault="00AA1B41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JUGEMENTS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30.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Jugement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Motifs du jugement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32.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Ordonnance de la Cour d'appel de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l'Ontario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Motifs de l'ordonnance de la Cour d'appel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l'Ontario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V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ACCORD DES PARTIES SUR LE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Date du document</w:t>
      </w:r>
    </w:p>
    <w:p w:rsidR="00AA1B41" w:rsidRDefault="00AA1B41">
      <w:pPr>
        <w:widowControl w:val="0"/>
        <w:spacing w:line="240" w:lineRule="exact"/>
        <w:ind w:left="1440"/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u w:val="single"/>
          <w:lang w:val="en-CA"/>
        </w:rPr>
        <w:t>CONTENU DU DOSSIER ET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ATTESTATIONS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34.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Accord sur le contenu du dossier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35.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Attestation du greffier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36.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Attestation du procureur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Fait à ...,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 des procureurs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de l'appelant</w:t>
      </w:r>
    </w:p>
    <w:p w:rsidR="00AA1B41" w:rsidRDefault="00AA1B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1B41" w:rsidRDefault="00AA1B4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 des procureurs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</w:t>
      </w:r>
    </w:p>
    <w:p w:rsidR="00AA1B41" w:rsidRDefault="00AA1B4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de l'intimé</w:t>
      </w:r>
    </w:p>
    <w:sectPr w:rsidR="00AA1B41" w:rsidSect="00AA1B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41"/>
    <w:rsid w:val="00A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