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C" w:rsidRDefault="000023E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[90:G:3]</w:t>
      </w:r>
    </w:p>
    <w:p w:rsidR="000023EC" w:rsidRDefault="000023EC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0023EC" w:rsidRDefault="000023EC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0023EC" w:rsidRDefault="000023E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pour faire déterminer le contenu du dossier d'appel</w:t>
      </w:r>
    </w:p>
    <w:p w:rsidR="000023EC" w:rsidRDefault="000023E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0023EC" w:rsidRDefault="000023E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0023EC" w:rsidRDefault="000023E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0023EC" w:rsidRDefault="000023E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0023EC" w:rsidRDefault="000023E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présentera une motion à la Cour d'appel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 xml:space="preserve">].  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</w:p>
    <w:p w:rsidR="000023EC" w:rsidRDefault="000023EC">
      <w:pPr>
        <w:widowControl w:val="0"/>
        <w:spacing w:line="240" w:lineRule="exact"/>
        <w:ind w:left="1440" w:hanging="720"/>
        <w:jc w:val="both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sur préavis);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</w:p>
    <w:p w:rsidR="000023EC" w:rsidRDefault="000023EC">
      <w:pPr>
        <w:widowControl w:val="0"/>
        <w:spacing w:line="240" w:lineRule="exact"/>
        <w:ind w:left="1440" w:hanging="720"/>
        <w:jc w:val="both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</w:p>
    <w:p w:rsidR="000023EC" w:rsidRDefault="000023EC">
      <w:pPr>
        <w:widowControl w:val="0"/>
        <w:spacing w:line="240" w:lineRule="exact"/>
        <w:ind w:left="1440" w:hanging="720"/>
        <w:jc w:val="both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déterminant le contenu du dossier de l'appel qui est interjeté à la Cour suprême du Canada dans leur cause.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parties ont été incapables de s'entendre sur le contenu du dossier de l'appel qui est interjeté à la Cour suprême du Canada dans leur cause.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2. </w:t>
      </w:r>
      <w:r>
        <w:rPr>
          <w:rFonts w:ascii="Courier 10cpi" w:hAnsi="Courier 10cpi"/>
          <w:lang w:val="en-CA"/>
        </w:rPr>
        <w:tab/>
        <w:t xml:space="preserve">Le demandeur invoque l'article 62 de la Loi sur la Cour suprême du Canada, L.R.C. (1985), chap. S-26. 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l'appui de la motion :</w:t>
      </w:r>
    </w:p>
    <w:p w:rsidR="000023EC" w:rsidRDefault="000023EC">
      <w:pPr>
        <w:widowControl w:val="0"/>
        <w:spacing w:line="240" w:lineRule="exact"/>
        <w:ind w:left="1440" w:hanging="1440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jointes à cet affidavit.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ind w:left="2880" w:hanging="2880"/>
        <w:jc w:val="both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</w:t>
      </w:r>
    </w:p>
    <w:p w:rsidR="000023EC" w:rsidRDefault="000023EC">
      <w:pPr>
        <w:widowControl w:val="0"/>
        <w:spacing w:line="240" w:lineRule="exact"/>
        <w:ind w:left="2880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  <w:t>téléphone des procureurs</w:t>
      </w:r>
      <w:r>
        <w:rPr>
          <w:rFonts w:ascii="Courier 10cpi" w:hAnsi="Courier 10cpi"/>
          <w:lang w:val="en-CA"/>
        </w:rPr>
        <w:t>]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023EC" w:rsidRDefault="000023EC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sectPr w:rsidR="000023EC" w:rsidSect="000023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EC"/>
    <w:rsid w:val="0000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